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0E0AD" w14:textId="59FAA9BC" w:rsidR="00C1144B" w:rsidRPr="00F91A10" w:rsidRDefault="00F06A3C" w:rsidP="007F4E6D">
      <w:pPr>
        <w:tabs>
          <w:tab w:val="center" w:pos="4536"/>
          <w:tab w:val="right" w:pos="9072"/>
        </w:tabs>
        <w:spacing w:after="0" w:line="240" w:lineRule="auto"/>
        <w:jc w:val="right"/>
        <w:rPr>
          <w:rFonts w:ascii="Times New Roman" w:hAnsi="Times New Roman" w:cs="Times New Roman"/>
          <w:b/>
          <w:i/>
          <w:sz w:val="24"/>
          <w:szCs w:val="24"/>
        </w:rPr>
      </w:pPr>
      <w:bookmarkStart w:id="0" w:name="_GoBack"/>
      <w:bookmarkEnd w:id="0"/>
      <w:r w:rsidRPr="00F91A10">
        <w:rPr>
          <w:rFonts w:ascii="Times New Roman" w:hAnsi="Times New Roman" w:cs="Times New Roman"/>
          <w:b/>
          <w:i/>
          <w:sz w:val="24"/>
          <w:szCs w:val="24"/>
        </w:rPr>
        <w:t xml:space="preserve">Приложение </w:t>
      </w:r>
      <w:r w:rsidR="00BE3FA8">
        <w:rPr>
          <w:rFonts w:ascii="Times New Roman" w:eastAsia="Calibri" w:hAnsi="Times New Roman" w:cs="Times New Roman"/>
          <w:b/>
          <w:i/>
          <w:sz w:val="24"/>
          <w:szCs w:val="24"/>
        </w:rPr>
        <w:t>12</w:t>
      </w:r>
    </w:p>
    <w:p w14:paraId="1A48257E" w14:textId="0CF05E7F" w:rsidR="00045584" w:rsidRPr="00F91A10" w:rsidRDefault="00184AF9" w:rsidP="00184AF9">
      <w:pPr>
        <w:spacing w:after="0" w:line="240" w:lineRule="auto"/>
        <w:jc w:val="center"/>
        <w:rPr>
          <w:rFonts w:ascii="Times New Roman" w:hAnsi="Times New Roman" w:cs="Times New Roman"/>
          <w:b/>
          <w:kern w:val="28"/>
          <w:sz w:val="24"/>
          <w:szCs w:val="24"/>
        </w:rPr>
      </w:pPr>
      <w:r w:rsidRPr="00F91A10">
        <w:rPr>
          <w:rFonts w:ascii="Times New Roman" w:hAnsi="Times New Roman" w:cs="Times New Roman"/>
          <w:b/>
          <w:kern w:val="28"/>
          <w:sz w:val="24"/>
          <w:szCs w:val="24"/>
        </w:rPr>
        <w:t>ИЗПОЛЗВАНИ СЪКРАЩЕНИЯ И ОСНОВНИ ДЕФИНИЦИИ</w:t>
      </w:r>
    </w:p>
    <w:p w14:paraId="5D2DE3E0" w14:textId="77777777" w:rsidR="00184AF9" w:rsidRPr="00F91A10" w:rsidRDefault="00184AF9" w:rsidP="00F24FB4">
      <w:pPr>
        <w:spacing w:after="0" w:line="240" w:lineRule="auto"/>
        <w:jc w:val="center"/>
        <w:rPr>
          <w:rFonts w:ascii="Times New Roman" w:hAnsi="Times New Roman" w:cs="Times New Roman"/>
          <w:b/>
          <w:kern w:val="28"/>
          <w:sz w:val="24"/>
          <w:szCs w:val="24"/>
        </w:rPr>
      </w:pPr>
    </w:p>
    <w:p w14:paraId="5CD301AD" w14:textId="2A1E47F5" w:rsidR="00C1144B" w:rsidRPr="00F91A10" w:rsidRDefault="007F4E6D" w:rsidP="00C1144B">
      <w:pPr>
        <w:spacing w:after="0" w:line="240" w:lineRule="auto"/>
        <w:rPr>
          <w:rFonts w:ascii="Times New Roman" w:hAnsi="Times New Roman" w:cs="Times New Roman"/>
          <w:b/>
          <w:kern w:val="28"/>
          <w:sz w:val="24"/>
          <w:szCs w:val="24"/>
        </w:rPr>
      </w:pPr>
      <w:r w:rsidRPr="00F91A10">
        <w:rPr>
          <w:rFonts w:ascii="Times New Roman" w:hAnsi="Times New Roman" w:cs="Times New Roman"/>
          <w:b/>
          <w:kern w:val="28"/>
          <w:sz w:val="24"/>
          <w:szCs w:val="24"/>
        </w:rPr>
        <w:t xml:space="preserve">I. </w:t>
      </w:r>
      <w:r w:rsidR="00C1144B" w:rsidRPr="00F91A10">
        <w:rPr>
          <w:rFonts w:ascii="Times New Roman" w:hAnsi="Times New Roman" w:cs="Times New Roman"/>
          <w:b/>
          <w:kern w:val="28"/>
          <w:sz w:val="24"/>
          <w:szCs w:val="24"/>
        </w:rPr>
        <w:t>ИЗПОЛЗВАНИ СЪКРАЩЕНИЯ</w:t>
      </w:r>
      <w:r w:rsidR="001B13CE" w:rsidRPr="00F91A10">
        <w:rPr>
          <w:rFonts w:ascii="Times New Roman" w:eastAsia="Times New Roman" w:hAnsi="Times New Roman" w:cs="Times New Roman"/>
          <w:b/>
          <w:snapToGrid w:val="0"/>
          <w:kern w:val="28"/>
          <w:sz w:val="24"/>
          <w:szCs w:val="24"/>
        </w:rPr>
        <w:t>:</w:t>
      </w:r>
    </w:p>
    <w:p w14:paraId="25F43ED0" w14:textId="77777777" w:rsidR="00C1144B" w:rsidRPr="00F91A10" w:rsidRDefault="00C1144B" w:rsidP="00C1144B">
      <w:pPr>
        <w:spacing w:after="0" w:line="240" w:lineRule="auto"/>
        <w:rPr>
          <w:rFonts w:ascii="Times New Roman" w:hAnsi="Times New Roman" w:cs="Times New Roman"/>
          <w:b/>
          <w:sz w:val="24"/>
          <w:szCs w:val="24"/>
        </w:rPr>
      </w:pPr>
    </w:p>
    <w:tbl>
      <w:tblPr>
        <w:tblW w:w="5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7836"/>
      </w:tblGrid>
      <w:tr w:rsidR="00877B66" w:rsidRPr="00F91A10" w14:paraId="7B2A5328" w14:textId="77777777" w:rsidTr="001D201C">
        <w:trPr>
          <w:jc w:val="center"/>
        </w:trPr>
        <w:tc>
          <w:tcPr>
            <w:tcW w:w="992" w:type="pct"/>
            <w:shd w:val="clear" w:color="auto" w:fill="D9D9D9"/>
          </w:tcPr>
          <w:p w14:paraId="1995C99D" w14:textId="76E779D3" w:rsidR="00877B66" w:rsidRPr="00F91A10" w:rsidRDefault="00877B66" w:rsidP="00F91A10">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АДПБФП</w:t>
            </w:r>
          </w:p>
        </w:tc>
        <w:tc>
          <w:tcPr>
            <w:tcW w:w="4008" w:type="pct"/>
            <w:shd w:val="clear" w:color="auto" w:fill="F3F3F3"/>
          </w:tcPr>
          <w:p w14:paraId="22644150" w14:textId="2C9A7AE5" w:rsidR="00877B66" w:rsidRPr="00F91A10" w:rsidRDefault="00877B66" w:rsidP="00877B66">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Административен договор за предоставяне на безвъзмездна финансова помощ</w:t>
            </w:r>
          </w:p>
        </w:tc>
      </w:tr>
      <w:tr w:rsidR="00F91A10" w:rsidRPr="00F91A10" w14:paraId="23CCD771" w14:textId="77777777" w:rsidTr="001D201C">
        <w:trPr>
          <w:jc w:val="center"/>
        </w:trPr>
        <w:tc>
          <w:tcPr>
            <w:tcW w:w="992" w:type="pct"/>
            <w:shd w:val="clear" w:color="auto" w:fill="D9D9D9"/>
          </w:tcPr>
          <w:p w14:paraId="261A79CC" w14:textId="77777777" w:rsidR="00F25879" w:rsidRPr="00F91A10" w:rsidRDefault="00F25879"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БНБ</w:t>
            </w:r>
          </w:p>
        </w:tc>
        <w:tc>
          <w:tcPr>
            <w:tcW w:w="4008" w:type="pct"/>
            <w:shd w:val="clear" w:color="auto" w:fill="F3F3F3"/>
          </w:tcPr>
          <w:p w14:paraId="60BF3E7B" w14:textId="77777777" w:rsidR="00F25879" w:rsidRPr="00F91A10" w:rsidRDefault="00F25879"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Българска народна банка</w:t>
            </w:r>
          </w:p>
        </w:tc>
      </w:tr>
      <w:tr w:rsidR="00F91A10" w:rsidRPr="00F91A10" w14:paraId="3EAB11F0" w14:textId="77777777" w:rsidTr="001D201C">
        <w:trPr>
          <w:jc w:val="center"/>
        </w:trPr>
        <w:tc>
          <w:tcPr>
            <w:tcW w:w="992" w:type="pct"/>
            <w:shd w:val="clear" w:color="auto" w:fill="D9D9D9"/>
          </w:tcPr>
          <w:p w14:paraId="0E0487D8" w14:textId="12829884" w:rsidR="00877B66" w:rsidRPr="00F91A10" w:rsidRDefault="00877B66"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БФП</w:t>
            </w:r>
          </w:p>
        </w:tc>
        <w:tc>
          <w:tcPr>
            <w:tcW w:w="4008" w:type="pct"/>
            <w:shd w:val="clear" w:color="auto" w:fill="F3F3F3"/>
          </w:tcPr>
          <w:p w14:paraId="5EDC2602" w14:textId="3045C2CD" w:rsidR="00877B66" w:rsidRPr="00F91A10" w:rsidRDefault="00877B66"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Безвъзмездна финансова помощ</w:t>
            </w:r>
          </w:p>
        </w:tc>
      </w:tr>
      <w:tr w:rsidR="00F91A10" w:rsidRPr="00F91A10" w14:paraId="13713C59" w14:textId="77777777" w:rsidTr="001D201C">
        <w:trPr>
          <w:jc w:val="center"/>
        </w:trPr>
        <w:tc>
          <w:tcPr>
            <w:tcW w:w="992" w:type="pct"/>
            <w:shd w:val="clear" w:color="auto" w:fill="D9D9D9"/>
          </w:tcPr>
          <w:p w14:paraId="0471CCF7"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ГД</w:t>
            </w:r>
          </w:p>
        </w:tc>
        <w:tc>
          <w:tcPr>
            <w:tcW w:w="4008" w:type="pct"/>
            <w:shd w:val="clear" w:color="auto" w:fill="F3F3F3"/>
          </w:tcPr>
          <w:p w14:paraId="1CD0DB13" w14:textId="77777777" w:rsidR="00C1144B" w:rsidRPr="00F91A10" w:rsidRDefault="00C1144B"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Главна дирекция</w:t>
            </w:r>
          </w:p>
        </w:tc>
      </w:tr>
      <w:tr w:rsidR="00F91A10" w:rsidRPr="00F91A10" w14:paraId="5CE365C9" w14:textId="77777777" w:rsidTr="001D201C">
        <w:trPr>
          <w:jc w:val="center"/>
        </w:trPr>
        <w:tc>
          <w:tcPr>
            <w:tcW w:w="992" w:type="pct"/>
            <w:shd w:val="clear" w:color="auto" w:fill="D9D9D9"/>
          </w:tcPr>
          <w:p w14:paraId="7A24F101"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ДДС</w:t>
            </w:r>
          </w:p>
        </w:tc>
        <w:tc>
          <w:tcPr>
            <w:tcW w:w="4008" w:type="pct"/>
            <w:shd w:val="clear" w:color="auto" w:fill="F3F3F3"/>
          </w:tcPr>
          <w:p w14:paraId="763EA8EC" w14:textId="77777777" w:rsidR="00C1144B" w:rsidRPr="00F91A10" w:rsidRDefault="00C1144B"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Данък добавена стойност</w:t>
            </w:r>
          </w:p>
        </w:tc>
      </w:tr>
      <w:tr w:rsidR="00F91A10" w:rsidRPr="00F91A10" w14:paraId="7ABF82C5" w14:textId="77777777" w:rsidTr="001D201C">
        <w:trPr>
          <w:jc w:val="center"/>
        </w:trPr>
        <w:tc>
          <w:tcPr>
            <w:tcW w:w="992" w:type="pct"/>
            <w:shd w:val="clear" w:color="auto" w:fill="D9D9D9"/>
          </w:tcPr>
          <w:p w14:paraId="1AC4BA32"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ДМА</w:t>
            </w:r>
          </w:p>
        </w:tc>
        <w:tc>
          <w:tcPr>
            <w:tcW w:w="4008" w:type="pct"/>
            <w:shd w:val="clear" w:color="auto" w:fill="F3F3F3"/>
          </w:tcPr>
          <w:p w14:paraId="0827D268" w14:textId="77777777" w:rsidR="00C1144B" w:rsidRPr="00F91A10" w:rsidRDefault="00C1144B"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Дълготрайни материални активи</w:t>
            </w:r>
          </w:p>
        </w:tc>
      </w:tr>
      <w:tr w:rsidR="00F91A10" w:rsidRPr="00F91A10" w14:paraId="08CD7F07" w14:textId="77777777" w:rsidTr="001D201C">
        <w:trPr>
          <w:jc w:val="center"/>
        </w:trPr>
        <w:tc>
          <w:tcPr>
            <w:tcW w:w="992" w:type="pct"/>
            <w:shd w:val="clear" w:color="auto" w:fill="D9D9D9"/>
          </w:tcPr>
          <w:p w14:paraId="2008B91A"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ДНА</w:t>
            </w:r>
          </w:p>
        </w:tc>
        <w:tc>
          <w:tcPr>
            <w:tcW w:w="4008" w:type="pct"/>
            <w:shd w:val="clear" w:color="auto" w:fill="F3F3F3"/>
          </w:tcPr>
          <w:p w14:paraId="09B1E5E7" w14:textId="77777777" w:rsidR="00C1144B" w:rsidRPr="00F91A10" w:rsidRDefault="00C1144B"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Дълготрайни нематериални активи</w:t>
            </w:r>
          </w:p>
        </w:tc>
      </w:tr>
      <w:tr w:rsidR="00F91A10" w:rsidRPr="00F91A10" w14:paraId="4C6C8A8D" w14:textId="77777777" w:rsidTr="001D201C">
        <w:trPr>
          <w:jc w:val="center"/>
        </w:trPr>
        <w:tc>
          <w:tcPr>
            <w:tcW w:w="992" w:type="pct"/>
            <w:shd w:val="clear" w:color="auto" w:fill="D9D9D9"/>
          </w:tcPr>
          <w:p w14:paraId="4E8ED42F"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ДНФ</w:t>
            </w:r>
          </w:p>
        </w:tc>
        <w:tc>
          <w:tcPr>
            <w:tcW w:w="4008" w:type="pct"/>
            <w:shd w:val="clear" w:color="auto" w:fill="F3F3F3"/>
          </w:tcPr>
          <w:p w14:paraId="1384992F" w14:textId="77777777" w:rsidR="00CF60CE" w:rsidRPr="00F91A10" w:rsidRDefault="00C1144B" w:rsidP="00CF60CE">
            <w:pPr>
              <w:spacing w:after="0" w:line="240" w:lineRule="auto"/>
              <w:ind w:left="289" w:right="289"/>
              <w:rPr>
                <w:rFonts w:ascii="Times New Roman" w:eastAsia="Times New Roman" w:hAnsi="Times New Roman" w:cs="Times New Roman"/>
                <w:b/>
                <w:snapToGrid w:val="0"/>
                <w:sz w:val="24"/>
                <w:szCs w:val="24"/>
              </w:rPr>
            </w:pPr>
            <w:r w:rsidRPr="00F91A10">
              <w:rPr>
                <w:rFonts w:ascii="Times New Roman" w:hAnsi="Times New Roman" w:cs="Times New Roman"/>
                <w:b/>
                <w:sz w:val="24"/>
                <w:szCs w:val="24"/>
              </w:rPr>
              <w:t xml:space="preserve">Дирекция „Национален фонд”, Министерство на </w:t>
            </w:r>
          </w:p>
          <w:p w14:paraId="30E49673" w14:textId="3479D99B" w:rsidR="00C1144B" w:rsidRPr="00F91A10" w:rsidRDefault="00C1144B" w:rsidP="00D25062">
            <w:pPr>
              <w:spacing w:after="0" w:line="240" w:lineRule="auto"/>
              <w:ind w:left="289" w:right="289"/>
              <w:rPr>
                <w:rFonts w:ascii="Times New Roman" w:hAnsi="Times New Roman" w:cs="Times New Roman"/>
                <w:b/>
                <w:sz w:val="24"/>
                <w:szCs w:val="24"/>
              </w:rPr>
            </w:pPr>
            <w:r w:rsidRPr="00F91A10">
              <w:rPr>
                <w:rFonts w:ascii="Times New Roman" w:hAnsi="Times New Roman" w:cs="Times New Roman"/>
                <w:b/>
                <w:sz w:val="24"/>
                <w:szCs w:val="24"/>
              </w:rPr>
              <w:t xml:space="preserve">финансите </w:t>
            </w:r>
          </w:p>
        </w:tc>
      </w:tr>
      <w:tr w:rsidR="00F91A10" w:rsidRPr="00F91A10" w14:paraId="2BC7A527" w14:textId="77777777" w:rsidTr="001D201C">
        <w:trPr>
          <w:jc w:val="center"/>
        </w:trPr>
        <w:tc>
          <w:tcPr>
            <w:tcW w:w="992" w:type="pct"/>
            <w:shd w:val="clear" w:color="auto" w:fill="D9D9D9"/>
          </w:tcPr>
          <w:p w14:paraId="7B0C15B7" w14:textId="77777777" w:rsidR="00D55DC2" w:rsidRPr="00F91A10" w:rsidRDefault="00D55DC2"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ДОПК</w:t>
            </w:r>
          </w:p>
        </w:tc>
        <w:tc>
          <w:tcPr>
            <w:tcW w:w="4008" w:type="pct"/>
            <w:shd w:val="clear" w:color="auto" w:fill="F3F3F3"/>
          </w:tcPr>
          <w:p w14:paraId="19AA0D29" w14:textId="6217F822" w:rsidR="00D55DC2" w:rsidRPr="00F91A10" w:rsidRDefault="000D040C" w:rsidP="00F24FB4">
            <w:pPr>
              <w:spacing w:after="0" w:line="240" w:lineRule="auto"/>
              <w:ind w:left="289" w:right="289"/>
              <w:rPr>
                <w:rFonts w:ascii="Times New Roman" w:hAnsi="Times New Roman" w:cs="Times New Roman"/>
                <w:b/>
                <w:sz w:val="24"/>
                <w:szCs w:val="24"/>
              </w:rPr>
            </w:pPr>
            <w:r w:rsidRPr="00F91A10">
              <w:rPr>
                <w:rFonts w:ascii="Times New Roman" w:hAnsi="Times New Roman" w:cs="Times New Roman"/>
                <w:b/>
                <w:sz w:val="24"/>
                <w:szCs w:val="24"/>
              </w:rPr>
              <w:t>Данъчно-</w:t>
            </w:r>
            <w:proofErr w:type="spellStart"/>
            <w:r w:rsidRPr="00F91A10">
              <w:rPr>
                <w:rFonts w:ascii="Times New Roman" w:eastAsia="Times New Roman" w:hAnsi="Times New Roman" w:cs="Times New Roman"/>
                <w:b/>
                <w:snapToGrid w:val="0"/>
                <w:sz w:val="24"/>
                <w:szCs w:val="24"/>
              </w:rPr>
              <w:t>осигурителe</w:t>
            </w:r>
            <w:r w:rsidR="00244EF0" w:rsidRPr="00F91A10">
              <w:rPr>
                <w:rFonts w:ascii="Times New Roman" w:eastAsia="Times New Roman" w:hAnsi="Times New Roman" w:cs="Times New Roman"/>
                <w:b/>
                <w:snapToGrid w:val="0"/>
                <w:sz w:val="24"/>
                <w:szCs w:val="24"/>
              </w:rPr>
              <w:t>н</w:t>
            </w:r>
            <w:proofErr w:type="spellEnd"/>
            <w:r w:rsidR="00D55DC2" w:rsidRPr="00F91A10">
              <w:rPr>
                <w:rFonts w:ascii="Times New Roman" w:hAnsi="Times New Roman" w:cs="Times New Roman"/>
                <w:b/>
                <w:sz w:val="24"/>
                <w:szCs w:val="24"/>
              </w:rPr>
              <w:t xml:space="preserve"> процесуален кодекс</w:t>
            </w:r>
          </w:p>
        </w:tc>
      </w:tr>
      <w:tr w:rsidR="00F91A10" w:rsidRPr="00F91A10" w14:paraId="46A4FFFC" w14:textId="77777777" w:rsidTr="001D201C">
        <w:trPr>
          <w:jc w:val="center"/>
        </w:trPr>
        <w:tc>
          <w:tcPr>
            <w:tcW w:w="992" w:type="pct"/>
            <w:shd w:val="clear" w:color="auto" w:fill="D9D9D9"/>
          </w:tcPr>
          <w:p w14:paraId="2517990B"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ЕК</w:t>
            </w:r>
          </w:p>
        </w:tc>
        <w:tc>
          <w:tcPr>
            <w:tcW w:w="4008" w:type="pct"/>
            <w:shd w:val="clear" w:color="auto" w:fill="F3F3F3"/>
          </w:tcPr>
          <w:p w14:paraId="1557069A" w14:textId="77777777" w:rsidR="00C1144B" w:rsidRPr="00F91A10" w:rsidRDefault="00C1144B"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Европейска комисия</w:t>
            </w:r>
          </w:p>
        </w:tc>
      </w:tr>
      <w:tr w:rsidR="00F91A10" w:rsidRPr="00F91A10" w14:paraId="402E934D" w14:textId="77777777" w:rsidTr="001D201C">
        <w:trPr>
          <w:jc w:val="center"/>
        </w:trPr>
        <w:tc>
          <w:tcPr>
            <w:tcW w:w="992" w:type="pct"/>
            <w:shd w:val="clear" w:color="auto" w:fill="D9D9D9"/>
          </w:tcPr>
          <w:p w14:paraId="42FD4FAC"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ЕО</w:t>
            </w:r>
          </w:p>
        </w:tc>
        <w:tc>
          <w:tcPr>
            <w:tcW w:w="4008" w:type="pct"/>
            <w:shd w:val="clear" w:color="auto" w:fill="F3F3F3"/>
          </w:tcPr>
          <w:p w14:paraId="0AE64D42" w14:textId="77777777" w:rsidR="00C1144B" w:rsidRPr="00F91A10" w:rsidRDefault="00C1144B"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Европейска общност</w:t>
            </w:r>
          </w:p>
        </w:tc>
      </w:tr>
      <w:tr w:rsidR="00F91A10" w:rsidRPr="00F91A10" w14:paraId="74E09591" w14:textId="77777777" w:rsidTr="001D201C">
        <w:trPr>
          <w:jc w:val="center"/>
        </w:trPr>
        <w:tc>
          <w:tcPr>
            <w:tcW w:w="992" w:type="pct"/>
            <w:shd w:val="clear" w:color="auto" w:fill="D9D9D9"/>
          </w:tcPr>
          <w:p w14:paraId="55D5BEE6" w14:textId="77777777" w:rsidR="00C1144B" w:rsidRPr="00F91A10" w:rsidRDefault="00C1144B"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ЕС</w:t>
            </w:r>
          </w:p>
        </w:tc>
        <w:tc>
          <w:tcPr>
            <w:tcW w:w="4008" w:type="pct"/>
            <w:shd w:val="clear" w:color="auto" w:fill="F3F3F3"/>
          </w:tcPr>
          <w:p w14:paraId="040953CD" w14:textId="77777777" w:rsidR="00C1144B" w:rsidRPr="00F91A10" w:rsidRDefault="00C1144B" w:rsidP="00D25062">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Европейски съюз</w:t>
            </w:r>
          </w:p>
        </w:tc>
      </w:tr>
      <w:tr w:rsidR="00F91A10" w:rsidRPr="00F91A10" w14:paraId="2B2A6DA1" w14:textId="77777777" w:rsidTr="001D201C">
        <w:trPr>
          <w:jc w:val="center"/>
        </w:trPr>
        <w:tc>
          <w:tcPr>
            <w:tcW w:w="992" w:type="pct"/>
            <w:shd w:val="clear" w:color="auto" w:fill="D9D9D9"/>
          </w:tcPr>
          <w:p w14:paraId="1F29FDB7" w14:textId="1C286A6D" w:rsidR="0015065C" w:rsidRPr="00F91A10" w:rsidRDefault="0015065C" w:rsidP="00F24FB4">
            <w:pPr>
              <w:spacing w:after="0"/>
              <w:ind w:left="33" w:right="288"/>
              <w:rPr>
                <w:rFonts w:ascii="Times New Roman" w:hAnsi="Times New Roman" w:cs="Times New Roman"/>
                <w:b/>
                <w:sz w:val="24"/>
                <w:szCs w:val="24"/>
              </w:rPr>
            </w:pPr>
            <w:r w:rsidRPr="00F91A10">
              <w:rPr>
                <w:rFonts w:ascii="Times New Roman" w:eastAsia="Times New Roman" w:hAnsi="Times New Roman" w:cs="Times New Roman"/>
                <w:b/>
                <w:snapToGrid w:val="0"/>
                <w:sz w:val="24"/>
                <w:szCs w:val="24"/>
              </w:rPr>
              <w:t>ЕФСУ</w:t>
            </w:r>
          </w:p>
        </w:tc>
        <w:tc>
          <w:tcPr>
            <w:tcW w:w="4008" w:type="pct"/>
            <w:shd w:val="clear" w:color="auto" w:fill="F3F3F3"/>
          </w:tcPr>
          <w:p w14:paraId="28F71D43" w14:textId="55878C32" w:rsidR="0015065C" w:rsidRPr="00F91A10" w:rsidRDefault="0015065C" w:rsidP="0015065C">
            <w:pPr>
              <w:spacing w:after="0" w:line="240" w:lineRule="auto"/>
              <w:ind w:left="288" w:right="288"/>
              <w:rPr>
                <w:rFonts w:ascii="Times New Roman" w:hAnsi="Times New Roman" w:cs="Times New Roman"/>
                <w:b/>
                <w:sz w:val="24"/>
                <w:szCs w:val="24"/>
              </w:rPr>
            </w:pPr>
            <w:r w:rsidRPr="00F91A10">
              <w:rPr>
                <w:rFonts w:ascii="Times New Roman" w:eastAsia="Times New Roman" w:hAnsi="Times New Roman" w:cs="Times New Roman"/>
                <w:b/>
                <w:snapToGrid w:val="0"/>
                <w:sz w:val="24"/>
                <w:szCs w:val="24"/>
              </w:rPr>
              <w:t>Европейски фондове  при споделено управление</w:t>
            </w:r>
          </w:p>
        </w:tc>
      </w:tr>
      <w:tr w:rsidR="00F91A10" w:rsidRPr="00F91A10" w14:paraId="63DCEEC0" w14:textId="77777777" w:rsidTr="001D201C">
        <w:trPr>
          <w:jc w:val="center"/>
        </w:trPr>
        <w:tc>
          <w:tcPr>
            <w:tcW w:w="992" w:type="pct"/>
            <w:shd w:val="clear" w:color="auto" w:fill="D9D9D9"/>
          </w:tcPr>
          <w:p w14:paraId="5CEFE7E3" w14:textId="77777777" w:rsidR="0015065C" w:rsidRPr="00F91A10" w:rsidRDefault="0015065C"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ЕСФ</w:t>
            </w:r>
          </w:p>
        </w:tc>
        <w:tc>
          <w:tcPr>
            <w:tcW w:w="4008" w:type="pct"/>
            <w:shd w:val="clear" w:color="auto" w:fill="F3F3F3"/>
          </w:tcPr>
          <w:p w14:paraId="7A9FE9E5" w14:textId="77777777" w:rsidR="0015065C" w:rsidRPr="00F91A10" w:rsidRDefault="0015065C" w:rsidP="0015065C">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Европейски социален фонд</w:t>
            </w:r>
          </w:p>
        </w:tc>
      </w:tr>
      <w:tr w:rsidR="00F91A10" w:rsidRPr="00F91A10" w14:paraId="591A68C8" w14:textId="77777777" w:rsidTr="001D201C">
        <w:trPr>
          <w:jc w:val="center"/>
        </w:trPr>
        <w:tc>
          <w:tcPr>
            <w:tcW w:w="992" w:type="pct"/>
            <w:shd w:val="clear" w:color="auto" w:fill="D9D9D9"/>
          </w:tcPr>
          <w:p w14:paraId="2DC01FA1" w14:textId="77777777" w:rsidR="0015065C" w:rsidRPr="00F91A10" w:rsidRDefault="0015065C"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ЕФРР</w:t>
            </w:r>
          </w:p>
        </w:tc>
        <w:tc>
          <w:tcPr>
            <w:tcW w:w="4008" w:type="pct"/>
            <w:shd w:val="clear" w:color="auto" w:fill="F3F3F3"/>
          </w:tcPr>
          <w:p w14:paraId="3E8A4233" w14:textId="77777777" w:rsidR="0015065C" w:rsidRPr="00F91A10" w:rsidRDefault="0015065C" w:rsidP="0015065C">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Европейски фонд за регионално развитие</w:t>
            </w:r>
          </w:p>
        </w:tc>
      </w:tr>
      <w:tr w:rsidR="00F91A10" w:rsidRPr="00F91A10" w14:paraId="3133DB43" w14:textId="77777777" w:rsidTr="001D201C">
        <w:trPr>
          <w:jc w:val="center"/>
        </w:trPr>
        <w:tc>
          <w:tcPr>
            <w:tcW w:w="992" w:type="pct"/>
            <w:shd w:val="clear" w:color="auto" w:fill="D9D9D9"/>
          </w:tcPr>
          <w:p w14:paraId="65329AB8" w14:textId="77777777" w:rsidR="0015065C" w:rsidRPr="00F91A10" w:rsidRDefault="0015065C"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ЗКПО</w:t>
            </w:r>
          </w:p>
        </w:tc>
        <w:tc>
          <w:tcPr>
            <w:tcW w:w="4008" w:type="pct"/>
            <w:shd w:val="clear" w:color="auto" w:fill="F3F3F3"/>
          </w:tcPr>
          <w:p w14:paraId="61666B6B" w14:textId="77777777" w:rsidR="0015065C" w:rsidRPr="00F91A10" w:rsidRDefault="0015065C" w:rsidP="0015065C">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Закон за корпоративното подоходно облагане</w:t>
            </w:r>
          </w:p>
        </w:tc>
      </w:tr>
      <w:tr w:rsidR="00F91A10" w:rsidRPr="00F91A10" w14:paraId="512F094C" w14:textId="77777777" w:rsidTr="001D201C">
        <w:trPr>
          <w:jc w:val="center"/>
        </w:trPr>
        <w:tc>
          <w:tcPr>
            <w:tcW w:w="992" w:type="pct"/>
            <w:shd w:val="clear" w:color="auto" w:fill="D9D9D9"/>
          </w:tcPr>
          <w:p w14:paraId="2D6F68B1" w14:textId="77777777" w:rsidR="0015065C" w:rsidRPr="00F91A10" w:rsidRDefault="0015065C"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ЗМСП</w:t>
            </w:r>
          </w:p>
        </w:tc>
        <w:tc>
          <w:tcPr>
            <w:tcW w:w="4008" w:type="pct"/>
            <w:shd w:val="clear" w:color="auto" w:fill="F3F3F3"/>
          </w:tcPr>
          <w:p w14:paraId="26100F7E" w14:textId="77777777" w:rsidR="0015065C" w:rsidRPr="00F91A10" w:rsidRDefault="0015065C" w:rsidP="0015065C">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Закон за малките и средните предприятия</w:t>
            </w:r>
          </w:p>
        </w:tc>
      </w:tr>
      <w:tr w:rsidR="00F91A10" w:rsidRPr="00F91A10" w14:paraId="2576C7B1" w14:textId="77777777" w:rsidTr="001D201C">
        <w:trPr>
          <w:jc w:val="center"/>
        </w:trPr>
        <w:tc>
          <w:tcPr>
            <w:tcW w:w="992" w:type="pct"/>
            <w:shd w:val="clear" w:color="auto" w:fill="D9D9D9"/>
          </w:tcPr>
          <w:p w14:paraId="14848F1D" w14:textId="77777777" w:rsidR="0015065C" w:rsidRPr="00F91A10" w:rsidRDefault="0015065C"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ЗОП</w:t>
            </w:r>
          </w:p>
        </w:tc>
        <w:tc>
          <w:tcPr>
            <w:tcW w:w="4008" w:type="pct"/>
            <w:shd w:val="clear" w:color="auto" w:fill="F3F3F3"/>
          </w:tcPr>
          <w:p w14:paraId="3C731198" w14:textId="77777777" w:rsidR="0015065C" w:rsidRPr="00F91A10" w:rsidRDefault="0015065C" w:rsidP="0015065C">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Закон за обществените поръчки</w:t>
            </w:r>
          </w:p>
        </w:tc>
      </w:tr>
      <w:tr w:rsidR="00F91A10" w:rsidRPr="00F91A10" w14:paraId="548158A8" w14:textId="77777777" w:rsidTr="001D201C">
        <w:trPr>
          <w:jc w:val="center"/>
        </w:trPr>
        <w:tc>
          <w:tcPr>
            <w:tcW w:w="992" w:type="pct"/>
            <w:shd w:val="clear" w:color="auto" w:fill="D9D9D9"/>
          </w:tcPr>
          <w:p w14:paraId="58D7921D" w14:textId="23BD7D85" w:rsidR="0015065C" w:rsidRPr="00F91A10" w:rsidRDefault="00CF60CE" w:rsidP="00F24FB4">
            <w:pPr>
              <w:spacing w:after="0"/>
              <w:ind w:left="33" w:right="288"/>
              <w:rPr>
                <w:rFonts w:ascii="Times New Roman" w:hAnsi="Times New Roman" w:cs="Times New Roman"/>
                <w:b/>
                <w:sz w:val="24"/>
                <w:szCs w:val="24"/>
              </w:rPr>
            </w:pPr>
            <w:r w:rsidRPr="00F91A10">
              <w:rPr>
                <w:rFonts w:ascii="Times New Roman" w:eastAsia="Times New Roman" w:hAnsi="Times New Roman" w:cs="Times New Roman"/>
                <w:b/>
                <w:snapToGrid w:val="0"/>
                <w:sz w:val="24"/>
                <w:szCs w:val="24"/>
              </w:rPr>
              <w:t>ЗТРРЮЛНЦ</w:t>
            </w:r>
          </w:p>
        </w:tc>
        <w:tc>
          <w:tcPr>
            <w:tcW w:w="4008" w:type="pct"/>
            <w:shd w:val="clear" w:color="auto" w:fill="F3F3F3"/>
          </w:tcPr>
          <w:p w14:paraId="610D40F1" w14:textId="41E033DF" w:rsidR="0015065C" w:rsidRPr="00F91A10" w:rsidRDefault="0015065C" w:rsidP="0015065C">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Закон за търговския регистър</w:t>
            </w:r>
            <w:r w:rsidR="00CF60CE" w:rsidRPr="00F91A10">
              <w:rPr>
                <w:rFonts w:ascii="Times New Roman" w:eastAsia="Times New Roman" w:hAnsi="Times New Roman" w:cs="Times New Roman"/>
                <w:b/>
                <w:snapToGrid w:val="0"/>
                <w:sz w:val="24"/>
                <w:szCs w:val="24"/>
              </w:rPr>
              <w:t xml:space="preserve"> и регистъра на юридическите лица с нестопанска цел</w:t>
            </w:r>
          </w:p>
        </w:tc>
      </w:tr>
      <w:tr w:rsidR="00F91A10" w:rsidRPr="00F91A10" w14:paraId="7FC08A94" w14:textId="77777777" w:rsidTr="001D201C">
        <w:trPr>
          <w:jc w:val="center"/>
        </w:trPr>
        <w:tc>
          <w:tcPr>
            <w:tcW w:w="992" w:type="pct"/>
            <w:shd w:val="clear" w:color="auto" w:fill="D9D9D9"/>
          </w:tcPr>
          <w:p w14:paraId="01330F95" w14:textId="6F53B139" w:rsidR="0015065C" w:rsidRPr="00F91A10" w:rsidRDefault="0015065C" w:rsidP="00F24FB4">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ЗУСЕФСУ</w:t>
            </w:r>
          </w:p>
        </w:tc>
        <w:tc>
          <w:tcPr>
            <w:tcW w:w="4008" w:type="pct"/>
            <w:shd w:val="clear" w:color="auto" w:fill="F3F3F3"/>
          </w:tcPr>
          <w:p w14:paraId="1EE985D9" w14:textId="37BC042B" w:rsidR="0015065C" w:rsidRPr="00F91A10" w:rsidRDefault="0015065C" w:rsidP="00F24FB4">
            <w:pPr>
              <w:spacing w:after="0" w:line="240" w:lineRule="auto"/>
              <w:ind w:left="288" w:right="-13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Закон за управление на средствата от Европейските фондовете при споделено управление</w:t>
            </w:r>
          </w:p>
        </w:tc>
      </w:tr>
      <w:tr w:rsidR="00CF60CE" w:rsidRPr="00F91A10" w14:paraId="0A12964D" w14:textId="77777777" w:rsidTr="001D201C">
        <w:trPr>
          <w:jc w:val="center"/>
        </w:trPr>
        <w:tc>
          <w:tcPr>
            <w:tcW w:w="992" w:type="pct"/>
            <w:shd w:val="clear" w:color="auto" w:fill="D9D9D9"/>
          </w:tcPr>
          <w:p w14:paraId="5132DB6F" w14:textId="77777777" w:rsidR="00CF60CE" w:rsidRPr="00F91A10" w:rsidRDefault="00CF60CE" w:rsidP="00CF60CE">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ИКТ</w:t>
            </w:r>
          </w:p>
        </w:tc>
        <w:tc>
          <w:tcPr>
            <w:tcW w:w="4008" w:type="pct"/>
            <w:shd w:val="clear" w:color="auto" w:fill="F3F3F3"/>
          </w:tcPr>
          <w:p w14:paraId="271920F8" w14:textId="77777777" w:rsidR="00CF60CE" w:rsidRPr="00F91A10" w:rsidRDefault="00CF60CE" w:rsidP="00CF60CE">
            <w:pPr>
              <w:spacing w:after="0" w:line="240" w:lineRule="auto"/>
              <w:ind w:left="288" w:right="-13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Информационни и комуникационни технологии</w:t>
            </w:r>
          </w:p>
        </w:tc>
      </w:tr>
      <w:tr w:rsidR="00F91A10" w:rsidRPr="00F91A10" w14:paraId="77A0C39C" w14:textId="77777777" w:rsidTr="001D201C">
        <w:trPr>
          <w:jc w:val="center"/>
        </w:trPr>
        <w:tc>
          <w:tcPr>
            <w:tcW w:w="992" w:type="pct"/>
            <w:shd w:val="clear" w:color="auto" w:fill="D9D9D9"/>
          </w:tcPr>
          <w:p w14:paraId="189156AD" w14:textId="122815B8" w:rsidR="0015065C" w:rsidRPr="00F91A10" w:rsidRDefault="0015065C" w:rsidP="00F24FB4">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ИСУН</w:t>
            </w:r>
          </w:p>
        </w:tc>
        <w:tc>
          <w:tcPr>
            <w:tcW w:w="4008" w:type="pct"/>
            <w:shd w:val="clear" w:color="auto" w:fill="F3F3F3"/>
          </w:tcPr>
          <w:p w14:paraId="1AB6F34E" w14:textId="040105AD" w:rsidR="0015065C" w:rsidRPr="00F91A10" w:rsidRDefault="0015065C" w:rsidP="00F24FB4">
            <w:pPr>
              <w:spacing w:after="0" w:line="240" w:lineRule="auto"/>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Информационна система за управление и наблюдение</w:t>
            </w:r>
          </w:p>
        </w:tc>
      </w:tr>
      <w:tr w:rsidR="00F91A10" w:rsidRPr="00F91A10" w14:paraId="7EE1A4B8" w14:textId="77777777" w:rsidTr="001D201C">
        <w:trPr>
          <w:jc w:val="center"/>
        </w:trPr>
        <w:tc>
          <w:tcPr>
            <w:tcW w:w="992" w:type="pct"/>
            <w:shd w:val="clear" w:color="auto" w:fill="D9D9D9"/>
          </w:tcPr>
          <w:p w14:paraId="6D7D346D" w14:textId="77777777" w:rsidR="0015065C" w:rsidRPr="00F91A10" w:rsidRDefault="0015065C" w:rsidP="00F24FB4">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КЕП</w:t>
            </w:r>
          </w:p>
        </w:tc>
        <w:tc>
          <w:tcPr>
            <w:tcW w:w="4008" w:type="pct"/>
            <w:shd w:val="clear" w:color="auto" w:fill="F3F3F3"/>
          </w:tcPr>
          <w:p w14:paraId="77512411" w14:textId="77777777" w:rsidR="0015065C" w:rsidRPr="00F91A10" w:rsidRDefault="0015065C" w:rsidP="00F24FB4">
            <w:pPr>
              <w:spacing w:after="0" w:line="240" w:lineRule="auto"/>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Квалифициран електронен подпис</w:t>
            </w:r>
          </w:p>
        </w:tc>
      </w:tr>
      <w:tr w:rsidR="00F91A10" w:rsidRPr="00F91A10" w14:paraId="0E8B747C" w14:textId="77777777" w:rsidTr="001D201C">
        <w:trPr>
          <w:jc w:val="center"/>
        </w:trPr>
        <w:tc>
          <w:tcPr>
            <w:tcW w:w="992" w:type="pct"/>
            <w:shd w:val="clear" w:color="auto" w:fill="D9D9D9"/>
          </w:tcPr>
          <w:p w14:paraId="64972344" w14:textId="5502D361" w:rsidR="0015065C" w:rsidRPr="00F91A10" w:rsidRDefault="0015065C" w:rsidP="00F24FB4">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КН</w:t>
            </w:r>
          </w:p>
        </w:tc>
        <w:tc>
          <w:tcPr>
            <w:tcW w:w="4008" w:type="pct"/>
            <w:shd w:val="clear" w:color="auto" w:fill="F3F3F3"/>
          </w:tcPr>
          <w:p w14:paraId="1530DC98" w14:textId="6874141E" w:rsidR="0015065C" w:rsidRPr="00F91A10" w:rsidRDefault="0015065C" w:rsidP="00F24FB4">
            <w:pPr>
              <w:spacing w:after="0" w:line="240" w:lineRule="auto"/>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Комитет за наблюдение</w:t>
            </w:r>
          </w:p>
        </w:tc>
      </w:tr>
      <w:tr w:rsidR="00CF60CE" w:rsidRPr="00F91A10" w14:paraId="1259225E" w14:textId="77777777" w:rsidTr="001D201C">
        <w:trPr>
          <w:jc w:val="center"/>
        </w:trPr>
        <w:tc>
          <w:tcPr>
            <w:tcW w:w="992" w:type="pct"/>
            <w:shd w:val="clear" w:color="auto" w:fill="D9D9D9"/>
          </w:tcPr>
          <w:p w14:paraId="061CB10A" w14:textId="77777777" w:rsidR="00CF60CE" w:rsidRPr="00F91A10" w:rsidRDefault="00CF60CE" w:rsidP="00CF60CE">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КИД-2008</w:t>
            </w:r>
          </w:p>
        </w:tc>
        <w:tc>
          <w:tcPr>
            <w:tcW w:w="4008" w:type="pct"/>
            <w:shd w:val="clear" w:color="auto" w:fill="F3F3F3"/>
          </w:tcPr>
          <w:p w14:paraId="15C06E6E" w14:textId="77777777" w:rsidR="00CF60CE" w:rsidRPr="00F91A10" w:rsidRDefault="00CF60CE" w:rsidP="00CF60CE">
            <w:pPr>
              <w:spacing w:after="0" w:line="240" w:lineRule="auto"/>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Класификация на икономическите дейности 2008</w:t>
            </w:r>
          </w:p>
        </w:tc>
      </w:tr>
      <w:tr w:rsidR="00F24FB4" w:rsidRPr="00F91A10" w14:paraId="6058BD14" w14:textId="77777777" w:rsidTr="001D201C">
        <w:trPr>
          <w:jc w:val="center"/>
        </w:trPr>
        <w:tc>
          <w:tcPr>
            <w:tcW w:w="992" w:type="pct"/>
            <w:shd w:val="clear" w:color="auto" w:fill="D9D9D9"/>
          </w:tcPr>
          <w:p w14:paraId="05DBCD37" w14:textId="5ACFD770" w:rsidR="00F24FB4" w:rsidRPr="00F91A10" w:rsidRDefault="00F24FB4" w:rsidP="00F24FB4">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КИД-2025</w:t>
            </w:r>
          </w:p>
        </w:tc>
        <w:tc>
          <w:tcPr>
            <w:tcW w:w="4008" w:type="pct"/>
            <w:shd w:val="clear" w:color="auto" w:fill="F3F3F3"/>
          </w:tcPr>
          <w:p w14:paraId="5C5C69EE" w14:textId="2AAC732A" w:rsidR="00F24FB4" w:rsidRPr="00F91A10" w:rsidRDefault="00F24FB4" w:rsidP="00F24FB4">
            <w:pPr>
              <w:spacing w:after="0" w:line="240" w:lineRule="auto"/>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Класификация на икономическите дейности 2025</w:t>
            </w:r>
          </w:p>
        </w:tc>
      </w:tr>
      <w:tr w:rsidR="00F91A10" w:rsidRPr="00F91A10" w14:paraId="6947F9B3" w14:textId="77777777" w:rsidTr="001D201C">
        <w:trPr>
          <w:jc w:val="center"/>
        </w:trPr>
        <w:tc>
          <w:tcPr>
            <w:tcW w:w="992" w:type="pct"/>
            <w:shd w:val="clear" w:color="auto" w:fill="D9D9D9"/>
          </w:tcPr>
          <w:p w14:paraId="4FBEDEDB" w14:textId="77777777"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МИР</w:t>
            </w:r>
          </w:p>
        </w:tc>
        <w:tc>
          <w:tcPr>
            <w:tcW w:w="4008" w:type="pct"/>
            <w:shd w:val="clear" w:color="auto" w:fill="F3F3F3"/>
          </w:tcPr>
          <w:p w14:paraId="687846FB" w14:textId="77777777"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Министерство на иновациите и растежа</w:t>
            </w:r>
          </w:p>
        </w:tc>
      </w:tr>
      <w:tr w:rsidR="00F91A10" w:rsidRPr="00F91A10" w14:paraId="29B9DCAF" w14:textId="77777777" w:rsidTr="001D201C">
        <w:trPr>
          <w:jc w:val="center"/>
        </w:trPr>
        <w:tc>
          <w:tcPr>
            <w:tcW w:w="992" w:type="pct"/>
            <w:shd w:val="clear" w:color="auto" w:fill="D9D9D9"/>
          </w:tcPr>
          <w:p w14:paraId="09434529" w14:textId="77777777"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МС</w:t>
            </w:r>
          </w:p>
        </w:tc>
        <w:tc>
          <w:tcPr>
            <w:tcW w:w="4008" w:type="pct"/>
            <w:shd w:val="clear" w:color="auto" w:fill="F3F3F3"/>
          </w:tcPr>
          <w:p w14:paraId="74C0F668" w14:textId="77777777"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Министерски съвет</w:t>
            </w:r>
          </w:p>
        </w:tc>
      </w:tr>
      <w:tr w:rsidR="00F24FB4" w:rsidRPr="00F91A10" w14:paraId="6B419E79" w14:textId="77777777" w:rsidTr="001D201C">
        <w:trPr>
          <w:jc w:val="center"/>
        </w:trPr>
        <w:tc>
          <w:tcPr>
            <w:tcW w:w="992" w:type="pct"/>
            <w:shd w:val="clear" w:color="auto" w:fill="D9D9D9"/>
          </w:tcPr>
          <w:p w14:paraId="008830AA" w14:textId="77777777" w:rsidR="00F24FB4" w:rsidRPr="00F91A10" w:rsidRDefault="00F24FB4" w:rsidP="00F24FB4">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МСП</w:t>
            </w:r>
          </w:p>
        </w:tc>
        <w:tc>
          <w:tcPr>
            <w:tcW w:w="4008" w:type="pct"/>
            <w:shd w:val="clear" w:color="auto" w:fill="F3F3F3"/>
          </w:tcPr>
          <w:p w14:paraId="03BFAC4C" w14:textId="77777777" w:rsidR="00F24FB4" w:rsidRPr="00F91A10" w:rsidRDefault="00F24FB4" w:rsidP="00F24FB4">
            <w:pPr>
              <w:spacing w:after="0" w:line="240" w:lineRule="auto"/>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Малки и средни предприятия</w:t>
            </w:r>
          </w:p>
        </w:tc>
      </w:tr>
      <w:tr w:rsidR="00F91A10" w:rsidRPr="00F91A10" w14:paraId="60EF2BD1" w14:textId="77777777" w:rsidTr="001D201C">
        <w:trPr>
          <w:jc w:val="center"/>
        </w:trPr>
        <w:tc>
          <w:tcPr>
            <w:tcW w:w="992" w:type="pct"/>
            <w:shd w:val="clear" w:color="auto" w:fill="D9D9D9"/>
          </w:tcPr>
          <w:p w14:paraId="12693FAD" w14:textId="77777777"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НСИ</w:t>
            </w:r>
          </w:p>
        </w:tc>
        <w:tc>
          <w:tcPr>
            <w:tcW w:w="4008" w:type="pct"/>
            <w:shd w:val="clear" w:color="auto" w:fill="F3F3F3"/>
          </w:tcPr>
          <w:p w14:paraId="6ABC9D65" w14:textId="77777777"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Национален статистически институт</w:t>
            </w:r>
          </w:p>
        </w:tc>
      </w:tr>
      <w:tr w:rsidR="00F91A10" w:rsidRPr="00F91A10" w14:paraId="6BAA45B0" w14:textId="77777777" w:rsidTr="001D201C">
        <w:trPr>
          <w:jc w:val="center"/>
        </w:trPr>
        <w:tc>
          <w:tcPr>
            <w:tcW w:w="992" w:type="pct"/>
            <w:shd w:val="clear" w:color="auto" w:fill="D9D9D9"/>
          </w:tcPr>
          <w:p w14:paraId="589077F9" w14:textId="77777777"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ПМС</w:t>
            </w:r>
          </w:p>
        </w:tc>
        <w:tc>
          <w:tcPr>
            <w:tcW w:w="4008" w:type="pct"/>
            <w:shd w:val="clear" w:color="auto" w:fill="F3F3F3"/>
          </w:tcPr>
          <w:p w14:paraId="3957782E" w14:textId="77777777"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Постановление на Министерски съвет</w:t>
            </w:r>
          </w:p>
        </w:tc>
      </w:tr>
      <w:tr w:rsidR="00F91A10" w:rsidRPr="00F91A10" w14:paraId="56841957" w14:textId="77777777" w:rsidTr="001D201C">
        <w:trPr>
          <w:jc w:val="center"/>
        </w:trPr>
        <w:tc>
          <w:tcPr>
            <w:tcW w:w="992" w:type="pct"/>
            <w:shd w:val="clear" w:color="auto" w:fill="D9D9D9"/>
          </w:tcPr>
          <w:p w14:paraId="56A8FB13" w14:textId="4E4562A9"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ПНИИДИТ</w:t>
            </w:r>
          </w:p>
        </w:tc>
        <w:tc>
          <w:tcPr>
            <w:tcW w:w="4008" w:type="pct"/>
            <w:shd w:val="clear" w:color="auto" w:fill="F3F3F3"/>
          </w:tcPr>
          <w:p w14:paraId="2BB4EA0F" w14:textId="3D46C9DA"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eastAsia="Times New Roman" w:hAnsi="Times New Roman" w:cs="Times New Roman"/>
                <w:b/>
                <w:snapToGrid w:val="0"/>
                <w:sz w:val="24"/>
                <w:szCs w:val="24"/>
              </w:rPr>
              <w:t>Програма „Научни изследвания, иновации и дигитализация за интелигента трансформация“</w:t>
            </w:r>
          </w:p>
        </w:tc>
      </w:tr>
      <w:tr w:rsidR="00F91A10" w:rsidRPr="00F91A10" w14:paraId="104676AE" w14:textId="77777777" w:rsidTr="001D201C">
        <w:trPr>
          <w:jc w:val="center"/>
        </w:trPr>
        <w:tc>
          <w:tcPr>
            <w:tcW w:w="992" w:type="pct"/>
            <w:shd w:val="clear" w:color="auto" w:fill="D9D9D9"/>
          </w:tcPr>
          <w:p w14:paraId="7E406DFD" w14:textId="77777777"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СМР</w:t>
            </w:r>
          </w:p>
        </w:tc>
        <w:tc>
          <w:tcPr>
            <w:tcW w:w="4008" w:type="pct"/>
            <w:shd w:val="clear" w:color="auto" w:fill="F3F3F3"/>
          </w:tcPr>
          <w:p w14:paraId="08C88943" w14:textId="77777777"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Строително-монтажни работи</w:t>
            </w:r>
          </w:p>
        </w:tc>
      </w:tr>
      <w:tr w:rsidR="00F91A10" w:rsidRPr="00F91A10" w14:paraId="77150078" w14:textId="77777777" w:rsidTr="001D201C">
        <w:trPr>
          <w:jc w:val="center"/>
        </w:trPr>
        <w:tc>
          <w:tcPr>
            <w:tcW w:w="992" w:type="pct"/>
            <w:shd w:val="clear" w:color="auto" w:fill="D9D9D9"/>
          </w:tcPr>
          <w:p w14:paraId="7ACC7E79" w14:textId="77777777" w:rsidR="00F24FB4" w:rsidRPr="00F91A10" w:rsidRDefault="00F24FB4" w:rsidP="00F24FB4">
            <w:pPr>
              <w:spacing w:after="0"/>
              <w:ind w:left="33" w:right="288"/>
              <w:rPr>
                <w:rFonts w:ascii="Times New Roman" w:eastAsia="Times New Roman" w:hAnsi="Times New Roman" w:cs="Times New Roman"/>
                <w:b/>
                <w:snapToGrid w:val="0"/>
                <w:sz w:val="24"/>
                <w:szCs w:val="24"/>
              </w:rPr>
            </w:pPr>
            <w:r w:rsidRPr="00F91A10">
              <w:rPr>
                <w:rFonts w:ascii="Times New Roman" w:hAnsi="Times New Roman" w:cs="Times New Roman"/>
                <w:b/>
                <w:sz w:val="24"/>
                <w:szCs w:val="24"/>
              </w:rPr>
              <w:lastRenderedPageBreak/>
              <w:t>ТРРЮЛНЦ</w:t>
            </w:r>
          </w:p>
        </w:tc>
        <w:tc>
          <w:tcPr>
            <w:tcW w:w="4008" w:type="pct"/>
            <w:shd w:val="clear" w:color="auto" w:fill="F3F3F3"/>
          </w:tcPr>
          <w:p w14:paraId="121CD49B" w14:textId="77777777" w:rsidR="00F24FB4" w:rsidRPr="00F91A10" w:rsidRDefault="00F24FB4" w:rsidP="00F24FB4">
            <w:pPr>
              <w:spacing w:after="0" w:line="240" w:lineRule="auto"/>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Търговки регистър и регистър на юридическите лица с нестопанска цел</w:t>
            </w:r>
          </w:p>
        </w:tc>
      </w:tr>
      <w:tr w:rsidR="00F91A10" w:rsidRPr="00F91A10" w14:paraId="45B950E9" w14:textId="77777777" w:rsidTr="001D201C">
        <w:trPr>
          <w:jc w:val="center"/>
        </w:trPr>
        <w:tc>
          <w:tcPr>
            <w:tcW w:w="992" w:type="pct"/>
            <w:shd w:val="clear" w:color="auto" w:fill="D9D9D9"/>
          </w:tcPr>
          <w:p w14:paraId="7A43B28C" w14:textId="77777777"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УО</w:t>
            </w:r>
          </w:p>
        </w:tc>
        <w:tc>
          <w:tcPr>
            <w:tcW w:w="4008" w:type="pct"/>
            <w:shd w:val="clear" w:color="auto" w:fill="F3F3F3"/>
          </w:tcPr>
          <w:p w14:paraId="12258DB0" w14:textId="77777777"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Управляващ орган</w:t>
            </w:r>
          </w:p>
        </w:tc>
      </w:tr>
      <w:tr w:rsidR="00F91A10" w:rsidRPr="00F91A10" w14:paraId="2FBF55EA" w14:textId="77777777" w:rsidTr="001D201C">
        <w:trPr>
          <w:jc w:val="center"/>
        </w:trPr>
        <w:tc>
          <w:tcPr>
            <w:tcW w:w="992" w:type="pct"/>
            <w:shd w:val="clear" w:color="auto" w:fill="D9D9D9"/>
          </w:tcPr>
          <w:p w14:paraId="7161C86B" w14:textId="77777777" w:rsidR="00F24FB4" w:rsidRPr="00F91A10" w:rsidRDefault="00F24FB4" w:rsidP="00F24FB4">
            <w:pPr>
              <w:spacing w:after="0"/>
              <w:ind w:left="33" w:right="288"/>
              <w:rPr>
                <w:rFonts w:ascii="Times New Roman" w:hAnsi="Times New Roman" w:cs="Times New Roman"/>
                <w:b/>
                <w:sz w:val="24"/>
                <w:szCs w:val="24"/>
              </w:rPr>
            </w:pPr>
            <w:r w:rsidRPr="00F91A10">
              <w:rPr>
                <w:rFonts w:ascii="Times New Roman" w:hAnsi="Times New Roman" w:cs="Times New Roman"/>
                <w:b/>
                <w:sz w:val="24"/>
                <w:szCs w:val="24"/>
              </w:rPr>
              <w:t>ФК</w:t>
            </w:r>
          </w:p>
        </w:tc>
        <w:tc>
          <w:tcPr>
            <w:tcW w:w="4008" w:type="pct"/>
            <w:shd w:val="clear" w:color="auto" w:fill="F3F3F3"/>
          </w:tcPr>
          <w:p w14:paraId="4F529F8A" w14:textId="77777777" w:rsidR="00F24FB4" w:rsidRPr="00F91A10" w:rsidRDefault="00F24FB4" w:rsidP="00F24FB4">
            <w:pPr>
              <w:spacing w:after="0" w:line="240" w:lineRule="auto"/>
              <w:ind w:left="288" w:right="288"/>
              <w:rPr>
                <w:rFonts w:ascii="Times New Roman" w:hAnsi="Times New Roman" w:cs="Times New Roman"/>
                <w:b/>
                <w:sz w:val="24"/>
                <w:szCs w:val="24"/>
              </w:rPr>
            </w:pPr>
            <w:r w:rsidRPr="00F91A10">
              <w:rPr>
                <w:rFonts w:ascii="Times New Roman" w:hAnsi="Times New Roman" w:cs="Times New Roman"/>
                <w:b/>
                <w:sz w:val="24"/>
                <w:szCs w:val="24"/>
              </w:rPr>
              <w:t>Формуляр за кандидатстване</w:t>
            </w:r>
          </w:p>
        </w:tc>
      </w:tr>
      <w:tr w:rsidR="00F24FB4" w:rsidRPr="00F91A10" w14:paraId="52FBA7E5" w14:textId="77777777" w:rsidTr="001D201C">
        <w:trPr>
          <w:jc w:val="center"/>
        </w:trPr>
        <w:tc>
          <w:tcPr>
            <w:tcW w:w="992" w:type="pct"/>
            <w:shd w:val="clear" w:color="auto" w:fill="D9D9D9"/>
          </w:tcPr>
          <w:p w14:paraId="3F2CDEE4" w14:textId="77777777" w:rsidR="00F24FB4" w:rsidRPr="00F91A10" w:rsidRDefault="00F24FB4" w:rsidP="00F24FB4">
            <w:pPr>
              <w:spacing w:after="0"/>
              <w:ind w:left="33"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ЮЗР</w:t>
            </w:r>
          </w:p>
        </w:tc>
        <w:tc>
          <w:tcPr>
            <w:tcW w:w="4008" w:type="pct"/>
            <w:shd w:val="clear" w:color="auto" w:fill="F3F3F3"/>
          </w:tcPr>
          <w:p w14:paraId="376FB190" w14:textId="77777777" w:rsidR="00F24FB4" w:rsidRPr="00F91A10" w:rsidRDefault="00F24FB4" w:rsidP="00F24FB4">
            <w:pPr>
              <w:spacing w:after="0"/>
              <w:ind w:left="288" w:right="288"/>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 xml:space="preserve">Югозападен район </w:t>
            </w:r>
          </w:p>
        </w:tc>
      </w:tr>
    </w:tbl>
    <w:p w14:paraId="25D1889E" w14:textId="77777777" w:rsidR="000F47BE" w:rsidRPr="00F91A10" w:rsidRDefault="000F47BE">
      <w:pPr>
        <w:rPr>
          <w:rFonts w:ascii="Times New Roman" w:hAnsi="Times New Roman" w:cs="Times New Roman"/>
          <w:sz w:val="24"/>
          <w:szCs w:val="24"/>
        </w:rPr>
      </w:pPr>
    </w:p>
    <w:p w14:paraId="3E4FA36A" w14:textId="3934086F" w:rsidR="00F56BC0" w:rsidRPr="00F91A10" w:rsidRDefault="007F4E6D" w:rsidP="00F56BC0">
      <w:pPr>
        <w:spacing w:after="0" w:line="240" w:lineRule="auto"/>
        <w:rPr>
          <w:rFonts w:ascii="Times New Roman" w:eastAsia="Times New Roman" w:hAnsi="Times New Roman" w:cs="Times New Roman"/>
          <w:b/>
          <w:snapToGrid w:val="0"/>
          <w:kern w:val="28"/>
          <w:sz w:val="24"/>
          <w:szCs w:val="24"/>
        </w:rPr>
      </w:pPr>
      <w:r w:rsidRPr="00F91A10">
        <w:rPr>
          <w:rFonts w:ascii="Times New Roman" w:hAnsi="Times New Roman" w:cs="Times New Roman"/>
          <w:b/>
          <w:kern w:val="28"/>
          <w:sz w:val="24"/>
          <w:szCs w:val="24"/>
        </w:rPr>
        <w:t xml:space="preserve">II. </w:t>
      </w:r>
      <w:r w:rsidR="00DF094A" w:rsidRPr="00F91A10">
        <w:rPr>
          <w:rFonts w:ascii="Times New Roman" w:hAnsi="Times New Roman" w:cs="Times New Roman"/>
          <w:b/>
          <w:kern w:val="28"/>
          <w:sz w:val="24"/>
          <w:szCs w:val="24"/>
        </w:rPr>
        <w:t>ОСНОВНИ ДЕФИНИЦИИ</w:t>
      </w:r>
      <w:r w:rsidR="009B0FAC" w:rsidRPr="00F91A10">
        <w:rPr>
          <w:rFonts w:ascii="Times New Roman" w:eastAsia="Times New Roman" w:hAnsi="Times New Roman" w:cs="Times New Roman"/>
          <w:b/>
          <w:snapToGrid w:val="0"/>
          <w:kern w:val="28"/>
          <w:sz w:val="24"/>
          <w:szCs w:val="24"/>
        </w:rPr>
        <w:t>:</w:t>
      </w:r>
    </w:p>
    <w:p w14:paraId="1C345D6C" w14:textId="77777777" w:rsidR="0015065C" w:rsidRPr="00F91A10" w:rsidRDefault="0015065C" w:rsidP="00F56BC0">
      <w:pPr>
        <w:spacing w:after="0" w:line="240" w:lineRule="auto"/>
        <w:rPr>
          <w:rFonts w:ascii="Times New Roman" w:hAnsi="Times New Roman" w:cs="Times New Roman"/>
          <w:b/>
          <w:kern w:val="28"/>
          <w:sz w:val="24"/>
          <w:szCs w:val="24"/>
        </w:rPr>
      </w:pPr>
    </w:p>
    <w:tbl>
      <w:tblPr>
        <w:tblpPr w:leftFromText="141" w:rightFromText="141" w:vertAnchor="text" w:tblpXSpec="righ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201"/>
      </w:tblGrid>
      <w:tr w:rsidR="00547B5C" w:rsidRPr="00F91A10" w14:paraId="1BE26DDE" w14:textId="77777777" w:rsidTr="001D201C">
        <w:tc>
          <w:tcPr>
            <w:tcW w:w="2405" w:type="dxa"/>
            <w:shd w:val="clear" w:color="auto" w:fill="E6E6E6"/>
          </w:tcPr>
          <w:p w14:paraId="510D0F50" w14:textId="126A36C7" w:rsidR="003754C6" w:rsidRPr="00F91A10" w:rsidRDefault="003754C6"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Административен договор за</w:t>
            </w:r>
            <w:r w:rsidR="00A83EF9" w:rsidRPr="00F91A10">
              <w:rPr>
                <w:rFonts w:ascii="Times New Roman" w:hAnsi="Times New Roman"/>
                <w:b/>
                <w:sz w:val="24"/>
              </w:rPr>
              <w:t xml:space="preserve"> предоставяне на </w:t>
            </w:r>
            <w:r w:rsidRPr="00F91A10">
              <w:rPr>
                <w:rFonts w:ascii="Times New Roman" w:hAnsi="Times New Roman"/>
                <w:b/>
                <w:sz w:val="24"/>
              </w:rPr>
              <w:t>безвъзмездна финансова помощ</w:t>
            </w:r>
          </w:p>
        </w:tc>
        <w:tc>
          <w:tcPr>
            <w:tcW w:w="7201" w:type="dxa"/>
            <w:shd w:val="clear" w:color="auto" w:fill="F3F3F3"/>
          </w:tcPr>
          <w:p w14:paraId="7D114DCB" w14:textId="77777777" w:rsidR="003754C6" w:rsidRPr="00F91A10" w:rsidRDefault="003754C6" w:rsidP="00F24FB4">
            <w:pPr>
              <w:spacing w:before="100" w:beforeAutospacing="1" w:after="0" w:line="240" w:lineRule="auto"/>
              <w:jc w:val="both"/>
              <w:rPr>
                <w:rFonts w:ascii="Times New Roman" w:hAnsi="Times New Roman"/>
                <w:sz w:val="24"/>
              </w:rPr>
            </w:pPr>
            <w:r w:rsidRPr="00F91A10">
              <w:rPr>
                <w:rFonts w:ascii="Times New Roman" w:hAnsi="Times New Roman"/>
                <w:sz w:val="24"/>
              </w:rPr>
              <w:t>Административен договор е изрично волеизявление на ръководителя на Управляващия орган за предоставяне на финансова подкрепа със средства от ЕФСУ,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tc>
      </w:tr>
      <w:tr w:rsidR="00547B5C" w:rsidRPr="00F91A10" w14:paraId="2CC37998" w14:textId="77777777" w:rsidTr="001D201C">
        <w:tc>
          <w:tcPr>
            <w:tcW w:w="2405" w:type="dxa"/>
            <w:shd w:val="clear" w:color="auto" w:fill="E6E6E6"/>
          </w:tcPr>
          <w:p w14:paraId="3F9F3472" w14:textId="77777777" w:rsidR="003754C6" w:rsidRPr="00F91A10" w:rsidRDefault="003754C6"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Безвъзмездна финансова помощ</w:t>
            </w:r>
          </w:p>
        </w:tc>
        <w:tc>
          <w:tcPr>
            <w:tcW w:w="7201" w:type="dxa"/>
            <w:shd w:val="clear" w:color="auto" w:fill="F3F3F3"/>
          </w:tcPr>
          <w:p w14:paraId="59ABBECC" w14:textId="6EB348A1" w:rsidR="003754C6" w:rsidRPr="00F91A10" w:rsidRDefault="003754C6" w:rsidP="00F24FB4">
            <w:pPr>
              <w:spacing w:before="100" w:beforeAutospacing="1" w:after="0" w:line="240" w:lineRule="auto"/>
              <w:jc w:val="both"/>
              <w:rPr>
                <w:rFonts w:ascii="Times New Roman" w:hAnsi="Times New Roman"/>
                <w:sz w:val="24"/>
              </w:rPr>
            </w:pPr>
            <w:r w:rsidRPr="00F91A10">
              <w:rPr>
                <w:rFonts w:ascii="Times New Roman" w:hAnsi="Times New Roman"/>
                <w:sz w:val="24"/>
              </w:rPr>
              <w:t xml:space="preserve">Средства, предоставени от </w:t>
            </w:r>
            <w:r w:rsidRPr="00F91A10">
              <w:rPr>
                <w:rFonts w:ascii="Times New Roman" w:eastAsia="Times New Roman" w:hAnsi="Times New Roman" w:cs="Times New Roman"/>
                <w:color w:val="000000"/>
                <w:sz w:val="24"/>
                <w:szCs w:val="24"/>
                <w:lang w:eastAsia="bg-BG"/>
              </w:rPr>
              <w:t>ПНИИДИТ</w:t>
            </w:r>
            <w:r w:rsidRPr="00F91A10">
              <w:rPr>
                <w:rFonts w:ascii="Times New Roman" w:hAnsi="Times New Roman"/>
                <w:sz w:val="24"/>
              </w:rPr>
              <w:t>, включително съответното национално съфинансиране, с цел изпълнението на одобрен проект, насочен към постигане на определени резултати/цели.</w:t>
            </w:r>
          </w:p>
        </w:tc>
      </w:tr>
      <w:tr w:rsidR="00CF60CE" w:rsidRPr="00F91A10" w14:paraId="5890ADE9" w14:textId="77777777" w:rsidTr="001D201C">
        <w:tc>
          <w:tcPr>
            <w:tcW w:w="2405" w:type="dxa"/>
            <w:shd w:val="clear" w:color="auto" w:fill="E6E6E6"/>
          </w:tcPr>
          <w:p w14:paraId="7AB1B127" w14:textId="77777777" w:rsidR="00CF60CE" w:rsidRPr="00F91A10" w:rsidRDefault="00CF60CE" w:rsidP="00CF60CE">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t>Бенефициент на безвъзмездна финансова помощ</w:t>
            </w:r>
          </w:p>
        </w:tc>
        <w:tc>
          <w:tcPr>
            <w:tcW w:w="7201" w:type="dxa"/>
            <w:shd w:val="clear" w:color="auto" w:fill="F3F3F3"/>
          </w:tcPr>
          <w:p w14:paraId="0DE6175D" w14:textId="77777777" w:rsidR="00CF60CE" w:rsidRPr="00F91A10" w:rsidRDefault="00CF60CE" w:rsidP="00CF60CE">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Лицата, посочени в чл. 2,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xml:space="preserve">. 9 от Регламент (ЕС) 2021/1060, съгласно който бенефициентите са публични или частни субекти, образувания със или без правосубектност или физически лица, които отговарят за започването на операциите или за започването и изпълнението им.  </w:t>
            </w:r>
          </w:p>
          <w:p w14:paraId="4F1AF75E" w14:textId="77777777" w:rsidR="00CF60CE" w:rsidRPr="00F91A10" w:rsidRDefault="00CF60CE" w:rsidP="00CF60CE">
            <w:pPr>
              <w:spacing w:before="100" w:beforeAutospacing="1" w:after="0"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За целите на процедурата под бенефициент се разбира предприятието, което получава/разходва помощта (бенефициента-кандидат и когато е приложимо бенефициента- партньор)</w:t>
            </w:r>
          </w:p>
        </w:tc>
      </w:tr>
      <w:tr w:rsidR="00CF60CE" w:rsidRPr="00F91A10" w14:paraId="3BDC81B7" w14:textId="77777777" w:rsidTr="001D201C">
        <w:tc>
          <w:tcPr>
            <w:tcW w:w="2405" w:type="dxa"/>
            <w:shd w:val="clear" w:color="auto" w:fill="E6E6E6"/>
          </w:tcPr>
          <w:p w14:paraId="416C988A" w14:textId="77777777" w:rsidR="00CF60CE" w:rsidRPr="00F91A10" w:rsidRDefault="00CF60CE" w:rsidP="00CF60CE">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Група предприятия</w:t>
            </w:r>
          </w:p>
        </w:tc>
        <w:tc>
          <w:tcPr>
            <w:tcW w:w="7201" w:type="dxa"/>
            <w:shd w:val="clear" w:color="auto" w:fill="F3F3F3"/>
          </w:tcPr>
          <w:p w14:paraId="7E24B840" w14:textId="77777777" w:rsidR="00CF60CE" w:rsidRPr="00F91A10" w:rsidRDefault="00CF60CE" w:rsidP="00CF60CE">
            <w:pPr>
              <w:spacing w:before="100" w:beforeAutospacing="1" w:after="0" w:line="240" w:lineRule="auto"/>
              <w:jc w:val="both"/>
              <w:rPr>
                <w:rFonts w:ascii="Times New Roman" w:hAnsi="Times New Roman" w:cs="Times New Roman"/>
              </w:rPr>
            </w:pPr>
            <w:r w:rsidRPr="00F91A10">
              <w:rPr>
                <w:rFonts w:ascii="Times New Roman" w:eastAsia="Times New Roman" w:hAnsi="Times New Roman" w:cs="Times New Roman"/>
                <w:snapToGrid w:val="0"/>
                <w:sz w:val="24"/>
                <w:szCs w:val="24"/>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p w14:paraId="61BD7273" w14:textId="77777777" w:rsidR="00CF60CE" w:rsidRPr="00F91A10" w:rsidRDefault="00CF60CE" w:rsidP="00CF60CE">
            <w:pPr>
              <w:spacing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tc>
      </w:tr>
      <w:tr w:rsidR="00CF60CE" w:rsidRPr="00F91A10" w14:paraId="38C1EF5D" w14:textId="77777777" w:rsidTr="001D201C">
        <w:tc>
          <w:tcPr>
            <w:tcW w:w="2405" w:type="dxa"/>
            <w:shd w:val="clear" w:color="auto" w:fill="E6E6E6"/>
          </w:tcPr>
          <w:p w14:paraId="15691E74" w14:textId="77777777" w:rsidR="00CF60CE" w:rsidRPr="00F91A10" w:rsidRDefault="00CF60CE" w:rsidP="00CF60CE">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t>Дата на предоставяне на помощта</w:t>
            </w:r>
          </w:p>
        </w:tc>
        <w:tc>
          <w:tcPr>
            <w:tcW w:w="7201" w:type="dxa"/>
            <w:shd w:val="clear" w:color="auto" w:fill="F3F3F3"/>
          </w:tcPr>
          <w:p w14:paraId="7CC1FADD" w14:textId="77777777" w:rsidR="00CF60CE" w:rsidRPr="00F91A10" w:rsidRDefault="00CF60CE" w:rsidP="00CF60CE">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 xml:space="preserve">Съгласно чл. 2,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xml:space="preserve">. 28 от Регламент (ЕС) № 651/2014 и чл. 3,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xml:space="preserve">. 3 от Регламент (ЕС) № 2023/2831, дата на предоставяне на помощта означава датата, на която законовото право на получаване на помощта се предоставя на </w:t>
            </w:r>
            <w:proofErr w:type="spellStart"/>
            <w:r w:rsidRPr="00F91A10">
              <w:rPr>
                <w:rFonts w:ascii="Times New Roman" w:eastAsia="Times New Roman" w:hAnsi="Times New Roman"/>
                <w:snapToGrid w:val="0"/>
                <w:sz w:val="24"/>
                <w:szCs w:val="24"/>
              </w:rPr>
              <w:t>бенефициера</w:t>
            </w:r>
            <w:proofErr w:type="spellEnd"/>
            <w:r w:rsidRPr="00F91A10">
              <w:rPr>
                <w:rFonts w:ascii="Times New Roman" w:eastAsia="Times New Roman" w:hAnsi="Times New Roman"/>
                <w:snapToGrid w:val="0"/>
                <w:sz w:val="24"/>
                <w:szCs w:val="24"/>
              </w:rPr>
              <w:t xml:space="preserve"> съгласно приложимия национален режим, независимо от датата на плащане на помощта на </w:t>
            </w:r>
            <w:r w:rsidRPr="00F91A10">
              <w:rPr>
                <w:rFonts w:ascii="Times New Roman" w:eastAsia="Times New Roman" w:hAnsi="Times New Roman"/>
                <w:snapToGrid w:val="0"/>
                <w:sz w:val="24"/>
                <w:szCs w:val="24"/>
              </w:rPr>
              <w:lastRenderedPageBreak/>
              <w:t>предприятието. По настоящата процедура, дата на предоставяне на помощта е датата на сключване на административния договор за предоставяне на безвъзмездна финансова помощ.</w:t>
            </w:r>
          </w:p>
        </w:tc>
      </w:tr>
      <w:tr w:rsidR="00547B5C" w:rsidRPr="00F91A10" w14:paraId="26E89DEF" w14:textId="77777777" w:rsidTr="001D201C">
        <w:tc>
          <w:tcPr>
            <w:tcW w:w="2405" w:type="dxa"/>
            <w:shd w:val="clear" w:color="auto" w:fill="E6E6E6"/>
          </w:tcPr>
          <w:p w14:paraId="3D1F562E" w14:textId="77777777" w:rsidR="003754C6" w:rsidRPr="00F91A10" w:rsidRDefault="003754C6"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lastRenderedPageBreak/>
              <w:t>Дейност</w:t>
            </w:r>
          </w:p>
        </w:tc>
        <w:tc>
          <w:tcPr>
            <w:tcW w:w="7201" w:type="dxa"/>
            <w:shd w:val="clear" w:color="auto" w:fill="F3F3F3"/>
          </w:tcPr>
          <w:p w14:paraId="7639EA90" w14:textId="77777777" w:rsidR="003754C6" w:rsidRPr="00F91A10" w:rsidRDefault="003754C6"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547B5C" w:rsidRPr="00F91A10" w14:paraId="6B412D1F" w14:textId="77777777" w:rsidTr="001D201C">
        <w:tc>
          <w:tcPr>
            <w:tcW w:w="2405" w:type="dxa"/>
            <w:shd w:val="clear" w:color="auto" w:fill="E6E6E6"/>
          </w:tcPr>
          <w:p w14:paraId="774C1D2F" w14:textId="77777777" w:rsidR="003754C6" w:rsidRPr="00F91A10" w:rsidRDefault="003754C6"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Експериментално развитие</w:t>
            </w:r>
          </w:p>
        </w:tc>
        <w:tc>
          <w:tcPr>
            <w:tcW w:w="7201" w:type="dxa"/>
            <w:shd w:val="clear" w:color="auto" w:fill="F3F3F3"/>
          </w:tcPr>
          <w:p w14:paraId="0D5E1105" w14:textId="6072BEBF" w:rsidR="003754C6" w:rsidRPr="00F91A10" w:rsidRDefault="00CF60CE"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cs="Times New Roman"/>
              </w:rPr>
              <w:t xml:space="preserve">Съгласно чл. 2, </w:t>
            </w:r>
            <w:proofErr w:type="spellStart"/>
            <w:r w:rsidRPr="00F91A10">
              <w:rPr>
                <w:rFonts w:ascii="Times New Roman" w:hAnsi="Times New Roman" w:cs="Times New Roman"/>
              </w:rPr>
              <w:t>пар</w:t>
            </w:r>
            <w:proofErr w:type="spellEnd"/>
            <w:r w:rsidRPr="00F91A10">
              <w:rPr>
                <w:rFonts w:ascii="Times New Roman" w:hAnsi="Times New Roman" w:cs="Times New Roman"/>
              </w:rPr>
              <w:t>. 86 от Регламент на Комисията (ЕС) № 651/2014</w:t>
            </w:r>
            <w:r w:rsidRPr="00F91A10">
              <w:rPr>
                <w:rFonts w:ascii="Times New Roman" w:eastAsia="Times New Roman" w:hAnsi="Times New Roman" w:cs="Times New Roman"/>
                <w:snapToGrid w:val="0"/>
                <w:sz w:val="24"/>
                <w:szCs w:val="24"/>
              </w:rPr>
              <w:t xml:space="preserve"> „експериментално</w:t>
            </w:r>
            <w:r w:rsidR="003754C6" w:rsidRPr="00F91A10">
              <w:rPr>
                <w:rFonts w:ascii="Times New Roman" w:hAnsi="Times New Roman"/>
                <w:sz w:val="24"/>
              </w:rPr>
              <w:t xml:space="preserve"> развитие“ означава придобиване, съчетаване, оформяне и използване на съществуващи научни, технологични, търговски и други важни знания и умения с цел разработване на нови или усъвършенствани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w:t>
            </w:r>
            <w:proofErr w:type="spellStart"/>
            <w:r w:rsidR="003754C6" w:rsidRPr="00F91A10">
              <w:rPr>
                <w:rFonts w:ascii="Times New Roman" w:hAnsi="Times New Roman"/>
                <w:sz w:val="24"/>
              </w:rPr>
              <w:t>блокчейн</w:t>
            </w:r>
            <w:proofErr w:type="spellEnd"/>
            <w:r w:rsidR="003754C6" w:rsidRPr="00F91A10">
              <w:rPr>
                <w:rFonts w:ascii="Times New Roman" w:hAnsi="Times New Roman"/>
                <w:sz w:val="24"/>
              </w:rPr>
              <w:t xml:space="preserve"> технологии, изкуствен интелект, киберсигурност, големи информационни масиви и облачни технологии или технологии за периферни изчисления). Това например може да включва и дейности, имащи за цел задаването на концепция, планирането и документирането на нови продукти, процеси или услуги.</w:t>
            </w:r>
          </w:p>
          <w:p w14:paraId="6CBFA6BC" w14:textId="77777777" w:rsidR="003754C6" w:rsidRPr="00F91A10" w:rsidRDefault="003754C6"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Експерименталното развитие може да включва разработване на прототипи, демонстрация, разработване на пилотни проекти, изпитване и валидиране на нови или усъвършенствани продукти, процеси или услуги в среда, която е представителна за оперативните условия в реалния живот, когато главната цел е по-нататъшното техническо подобряване на продукти, процеси или услуги, които не са в окончателния си вид. Това може да включва разработване на търговски използваеми прототипи или пилотни проекти, които са необходими за крайния търговски продукт и чието производство е твърде скъпо, за да бъдат използвани само за демонстрации и валидиране.</w:t>
            </w:r>
          </w:p>
          <w:p w14:paraId="3E089B78" w14:textId="6D4371AB" w:rsidR="003754C6" w:rsidRPr="00F91A10" w:rsidRDefault="003754C6"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Експерименталното развитие не включва рутинни и периодични изменения, въвеждани в съществуващи продукти, производствени линии, производствени процеси, услуги или други операции в процес на изпълнение, дори ако тези изменения може да представляват подобрения</w:t>
            </w:r>
            <w:r w:rsidR="00CF60CE" w:rsidRPr="00F91A10">
              <w:rPr>
                <w:rFonts w:ascii="Times New Roman" w:eastAsia="Times New Roman" w:hAnsi="Times New Roman" w:cs="Times New Roman"/>
                <w:snapToGrid w:val="0"/>
                <w:sz w:val="24"/>
                <w:szCs w:val="24"/>
              </w:rPr>
              <w:t>;“;</w:t>
            </w:r>
          </w:p>
        </w:tc>
      </w:tr>
      <w:tr w:rsidR="00CF60CE" w:rsidRPr="00F91A10" w14:paraId="4CEDF16D" w14:textId="77777777" w:rsidTr="001D201C">
        <w:tc>
          <w:tcPr>
            <w:tcW w:w="2405" w:type="dxa"/>
            <w:shd w:val="clear" w:color="auto" w:fill="E6E6E6"/>
          </w:tcPr>
          <w:p w14:paraId="5766E300" w14:textId="77777777" w:rsidR="00CF60CE" w:rsidRPr="00F91A10" w:rsidRDefault="00CF60CE" w:rsidP="00CF60CE">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t>Започване на работите по проекта</w:t>
            </w:r>
          </w:p>
        </w:tc>
        <w:tc>
          <w:tcPr>
            <w:tcW w:w="7201" w:type="dxa"/>
            <w:shd w:val="clear" w:color="auto" w:fill="F3F3F3"/>
          </w:tcPr>
          <w:p w14:paraId="211F6838" w14:textId="77777777" w:rsidR="00CF60CE" w:rsidRPr="00F91A10" w:rsidRDefault="00CF60CE" w:rsidP="00CF60CE">
            <w:pPr>
              <w:spacing w:before="100" w:beforeAutospacing="1" w:after="100" w:afterAutospacing="1" w:line="240" w:lineRule="auto"/>
              <w:jc w:val="both"/>
              <w:rPr>
                <w:rFonts w:ascii="Times New Roman" w:hAnsi="Times New Roman" w:cs="Times New Roman"/>
              </w:rPr>
            </w:pPr>
            <w:r w:rsidRPr="00F91A10">
              <w:rPr>
                <w:rFonts w:ascii="Times New Roman" w:eastAsia="Times New Roman" w:hAnsi="Times New Roman"/>
                <w:snapToGrid w:val="0"/>
                <w:sz w:val="24"/>
                <w:szCs w:val="24"/>
              </w:rPr>
              <w:t xml:space="preserve">Съгласно чл. 2,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xml:space="preserve">. 23 от Регламент (ЕС) № 651/2014 на Комисията, „започване на работите по проекта“ означава първото от следните събития: започване на строителните работи, свързани с инвестицията, или поемане на първия </w:t>
            </w:r>
            <w:proofErr w:type="spellStart"/>
            <w:r w:rsidRPr="00F91A10">
              <w:rPr>
                <w:rFonts w:ascii="Times New Roman" w:eastAsia="Times New Roman" w:hAnsi="Times New Roman"/>
                <w:snapToGrid w:val="0"/>
                <w:sz w:val="24"/>
                <w:szCs w:val="24"/>
              </w:rPr>
              <w:t>правнообвързващ</w:t>
            </w:r>
            <w:proofErr w:type="spellEnd"/>
            <w:r w:rsidRPr="00F91A10">
              <w:rPr>
                <w:rFonts w:ascii="Times New Roman" w:eastAsia="Times New Roman" w:hAnsi="Times New Roman"/>
                <w:snapToGrid w:val="0"/>
                <w:sz w:val="24"/>
                <w:szCs w:val="24"/>
              </w:rPr>
              <w:t xml:space="preserve">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 При поглъщания на предприятия „започване на </w:t>
            </w:r>
            <w:r w:rsidRPr="00F91A10">
              <w:rPr>
                <w:rFonts w:ascii="Times New Roman" w:eastAsia="Times New Roman" w:hAnsi="Times New Roman"/>
                <w:snapToGrid w:val="0"/>
                <w:sz w:val="24"/>
                <w:szCs w:val="24"/>
              </w:rPr>
              <w:lastRenderedPageBreak/>
              <w:t>работите по проекта“ означава момента на придобиване на активите, пряко свързани с придобития стопански обект.</w:t>
            </w:r>
          </w:p>
        </w:tc>
      </w:tr>
      <w:tr w:rsidR="00547B5C" w:rsidRPr="00F91A10" w14:paraId="6FAF2B3E" w14:textId="77777777" w:rsidTr="001D201C">
        <w:tc>
          <w:tcPr>
            <w:tcW w:w="2405" w:type="dxa"/>
            <w:shd w:val="clear" w:color="auto" w:fill="E6E6E6"/>
          </w:tcPr>
          <w:p w14:paraId="12DDDA26" w14:textId="77777777" w:rsidR="003754C6" w:rsidRPr="00F91A10" w:rsidRDefault="003754C6"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lastRenderedPageBreak/>
              <w:t xml:space="preserve">Изпълнител, определен от страна на бенефициента </w:t>
            </w:r>
          </w:p>
        </w:tc>
        <w:tc>
          <w:tcPr>
            <w:tcW w:w="7201" w:type="dxa"/>
            <w:shd w:val="clear" w:color="auto" w:fill="F3F3F3"/>
          </w:tcPr>
          <w:p w14:paraId="6406B088" w14:textId="5D4A88E2" w:rsidR="003754C6" w:rsidRPr="00F91A10" w:rsidRDefault="003754C6"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 xml:space="preserve">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w:t>
            </w:r>
            <w:r w:rsidR="00EA3E63" w:rsidRPr="00F91A10">
              <w:rPr>
                <w:rFonts w:ascii="Times New Roman" w:hAnsi="Times New Roman"/>
                <w:sz w:val="24"/>
              </w:rPr>
              <w:t>ЕФСУ</w:t>
            </w:r>
            <w:r w:rsidRPr="00F91A10">
              <w:rPr>
                <w:rFonts w:ascii="Times New Roman" w:hAnsi="Times New Roman"/>
                <w:sz w:val="24"/>
              </w:rPr>
              <w:t xml:space="preserve">,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w:t>
            </w:r>
            <w:r w:rsidR="00781638" w:rsidRPr="00F91A10">
              <w:rPr>
                <w:rFonts w:ascii="Times New Roman" w:hAnsi="Times New Roman"/>
                <w:sz w:val="24"/>
              </w:rPr>
              <w:t>ПНИИДИТ</w:t>
            </w:r>
            <w:r w:rsidRPr="00F91A10">
              <w:rPr>
                <w:rFonts w:ascii="Times New Roman" w:hAnsi="Times New Roman"/>
                <w:sz w:val="24"/>
              </w:rPr>
              <w:t>.</w:t>
            </w:r>
          </w:p>
        </w:tc>
      </w:tr>
      <w:tr w:rsidR="00CF60CE" w:rsidRPr="00F91A10" w14:paraId="110EE80E" w14:textId="77777777" w:rsidTr="001D201C">
        <w:tc>
          <w:tcPr>
            <w:tcW w:w="2405" w:type="dxa"/>
            <w:shd w:val="clear" w:color="auto" w:fill="E6E6E6"/>
          </w:tcPr>
          <w:p w14:paraId="4C7B3ADB" w14:textId="77777777" w:rsidR="00CF60CE" w:rsidRPr="00F91A10" w:rsidRDefault="00CF60CE" w:rsidP="00CF60CE">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Кандидати</w:t>
            </w:r>
            <w:r w:rsidRPr="00F91A10">
              <w:rPr>
                <w:rFonts w:ascii="Times New Roman" w:eastAsia="Times New Roman" w:hAnsi="Times New Roman" w:cs="Times New Roman"/>
                <w:snapToGrid w:val="0"/>
                <w:sz w:val="24"/>
                <w:szCs w:val="24"/>
              </w:rPr>
              <w:t xml:space="preserve"> за безвъзмездна финансова помощ</w:t>
            </w:r>
          </w:p>
        </w:tc>
        <w:tc>
          <w:tcPr>
            <w:tcW w:w="7201" w:type="dxa"/>
            <w:shd w:val="clear" w:color="auto" w:fill="F3F3F3"/>
          </w:tcPr>
          <w:p w14:paraId="2E8DCD6F" w14:textId="77777777" w:rsidR="00CF60CE" w:rsidRPr="00F91A10" w:rsidRDefault="00CF60CE" w:rsidP="00CF60CE">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Съгласно § 1, т. 3 от Допълнителната разпоредба на ПМС 23/2023 - всички физически и юридически лица и техни обединения, които кандидатстват за безвъзмездна финансова помощ чрез подаване на проектно предложение или на финансов план за бюджетна линия.</w:t>
            </w:r>
          </w:p>
        </w:tc>
      </w:tr>
      <w:tr w:rsidR="00547B5C" w:rsidRPr="00F91A10" w14:paraId="77550B92" w14:textId="77777777" w:rsidTr="001D201C">
        <w:tc>
          <w:tcPr>
            <w:tcW w:w="2405" w:type="dxa"/>
            <w:shd w:val="clear" w:color="auto" w:fill="E6E6E6"/>
          </w:tcPr>
          <w:p w14:paraId="2E1AE18F" w14:textId="10E16DE0" w:rsidR="003754C6" w:rsidRPr="00F91A10" w:rsidRDefault="00CF60CE" w:rsidP="00F24FB4">
            <w:pPr>
              <w:spacing w:before="100" w:beforeAutospacing="1" w:after="100" w:afterAutospacing="1" w:line="240" w:lineRule="auto"/>
              <w:rPr>
                <w:rFonts w:ascii="Times New Roman" w:hAnsi="Times New Roman"/>
                <w:b/>
                <w:sz w:val="24"/>
              </w:rPr>
            </w:pPr>
            <w:r w:rsidRPr="00F91A10">
              <w:rPr>
                <w:rFonts w:ascii="Times New Roman" w:eastAsia="Times New Roman" w:hAnsi="Times New Roman"/>
                <w:b/>
                <w:snapToGrid w:val="0"/>
                <w:sz w:val="24"/>
                <w:szCs w:val="24"/>
              </w:rPr>
              <w:t>Конвенция на ООН за правата на хората с увреждания</w:t>
            </w:r>
          </w:p>
        </w:tc>
        <w:tc>
          <w:tcPr>
            <w:tcW w:w="7201" w:type="dxa"/>
            <w:shd w:val="clear" w:color="auto" w:fill="F3F3F3"/>
          </w:tcPr>
          <w:p w14:paraId="1FC6A9FD" w14:textId="77777777" w:rsidR="00CF60CE" w:rsidRPr="00F91A10" w:rsidRDefault="00CF60CE" w:rsidP="00CF60CE">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Прилагането и изпълнението на Конвенцията на ООН за правата на хората с увреждания</w:t>
            </w:r>
            <w:r w:rsidRPr="00F91A10">
              <w:rPr>
                <w:rStyle w:val="FootnoteReference"/>
                <w:rFonts w:ascii="Times New Roman" w:eastAsia="Times New Roman" w:hAnsi="Times New Roman"/>
                <w:snapToGrid w:val="0"/>
                <w:sz w:val="24"/>
                <w:szCs w:val="24"/>
              </w:rPr>
              <w:footnoteReference w:id="2"/>
            </w:r>
            <w:r w:rsidRPr="00F91A10">
              <w:rPr>
                <w:rFonts w:ascii="Times New Roman" w:eastAsia="Times New Roman" w:hAnsi="Times New Roman"/>
                <w:snapToGrid w:val="0"/>
                <w:sz w:val="24"/>
                <w:szCs w:val="24"/>
              </w:rPr>
              <w:t xml:space="preserve"> цели осигуряване на зачитането и защитата на всички основни права на хората с увреждания, сред които са:</w:t>
            </w:r>
          </w:p>
          <w:p w14:paraId="237401F0" w14:textId="77777777" w:rsidR="00CF60CE" w:rsidRPr="00F91A10" w:rsidRDefault="00CF60CE" w:rsidP="00CF60CE">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право на равенство и забрана на дискриминация;</w:t>
            </w:r>
          </w:p>
          <w:p w14:paraId="347B226A" w14:textId="77777777" w:rsidR="00CF60CE" w:rsidRPr="00F91A10" w:rsidRDefault="00CF60CE" w:rsidP="00CF60CE">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право на жените с увреждания за подпомагане при пълноценното им упражняване на всички права на човека и основни свободи;</w:t>
            </w:r>
          </w:p>
          <w:p w14:paraId="72E40842" w14:textId="77777777" w:rsidR="00CF60CE" w:rsidRPr="00F91A10" w:rsidRDefault="00CF60CE" w:rsidP="00CF60CE">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w:t>
            </w:r>
          </w:p>
          <w:p w14:paraId="311DBE52" w14:textId="77777777" w:rsidR="00CF60CE" w:rsidRPr="00F91A10" w:rsidRDefault="00CF60CE" w:rsidP="00CF60CE">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срещу експлоатация, насилие и тормоз, защита на целостта и ненакърнимостта на личността;</w:t>
            </w:r>
          </w:p>
          <w:p w14:paraId="5D1B0A75" w14:textId="77777777" w:rsidR="00CF60CE" w:rsidRPr="00F91A10" w:rsidRDefault="00CF60CE" w:rsidP="00CF60CE">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w:t>
            </w:r>
            <w:proofErr w:type="spellStart"/>
            <w:r w:rsidRPr="00F91A10">
              <w:rPr>
                <w:rFonts w:ascii="Times New Roman" w:eastAsia="Times New Roman" w:hAnsi="Times New Roman"/>
                <w:snapToGrid w:val="0"/>
                <w:sz w:val="24"/>
                <w:szCs w:val="24"/>
              </w:rPr>
              <w:t>абилитация</w:t>
            </w:r>
            <w:proofErr w:type="spellEnd"/>
            <w:r w:rsidRPr="00F91A10">
              <w:rPr>
                <w:rFonts w:ascii="Times New Roman" w:eastAsia="Times New Roman" w:hAnsi="Times New Roman"/>
                <w:snapToGrid w:val="0"/>
                <w:sz w:val="24"/>
                <w:szCs w:val="24"/>
              </w:rPr>
              <w:t xml:space="preserve"> и рехабилитация;</w:t>
            </w:r>
          </w:p>
          <w:p w14:paraId="584C047D" w14:textId="3DCAD1F6" w:rsidR="003754C6" w:rsidRPr="00F91A10" w:rsidRDefault="00CF60CE" w:rsidP="00F24FB4">
            <w:pPr>
              <w:spacing w:before="100" w:beforeAutospacing="1" w:after="100" w:afterAutospacing="1" w:line="240" w:lineRule="auto"/>
              <w:jc w:val="both"/>
              <w:rPr>
                <w:rFonts w:ascii="Times New Roman" w:hAnsi="Times New Roman"/>
                <w:sz w:val="24"/>
              </w:rPr>
            </w:pPr>
            <w:r w:rsidRPr="00F91A10">
              <w:rPr>
                <w:rFonts w:ascii="Times New Roman" w:eastAsia="Times New Roman" w:hAnsi="Times New Roman"/>
                <w:snapToGrid w:val="0"/>
                <w:sz w:val="24"/>
                <w:szCs w:val="24"/>
              </w:rPr>
              <w:t>- работа и заетост, подходящ жизнен стандарт и социална закрила, участие в политическия и обществения живот, участие в културния живот, почивка, свободно време и спорт, статистика и събиране на данни, международно сътрудничество.</w:t>
            </w:r>
          </w:p>
        </w:tc>
      </w:tr>
      <w:tr w:rsidR="00547B5C" w:rsidRPr="00F91A10" w14:paraId="1F60E131" w14:textId="77777777" w:rsidTr="001D201C">
        <w:tc>
          <w:tcPr>
            <w:tcW w:w="2405" w:type="dxa"/>
            <w:shd w:val="clear" w:color="auto" w:fill="E6E6E6"/>
          </w:tcPr>
          <w:p w14:paraId="343A64F8" w14:textId="33039169" w:rsidR="003754C6" w:rsidRPr="00F91A10" w:rsidRDefault="003754C6" w:rsidP="00F24FB4">
            <w:pPr>
              <w:spacing w:after="0" w:line="240" w:lineRule="auto"/>
              <w:rPr>
                <w:rFonts w:ascii="Times New Roman" w:eastAsia="Times New Roman" w:hAnsi="Times New Roman" w:cs="Times New Roman"/>
                <w:b/>
                <w:bCs/>
                <w:color w:val="000000"/>
                <w:sz w:val="24"/>
                <w:szCs w:val="24"/>
                <w:lang w:eastAsia="bg-BG"/>
              </w:rPr>
            </w:pPr>
            <w:r w:rsidRPr="00F91A10">
              <w:rPr>
                <w:rFonts w:ascii="Times New Roman" w:eastAsia="Times New Roman" w:hAnsi="Times New Roman" w:cs="Times New Roman"/>
                <w:b/>
                <w:bCs/>
                <w:color w:val="000000"/>
                <w:sz w:val="24"/>
                <w:szCs w:val="24"/>
                <w:lang w:eastAsia="bg-BG"/>
              </w:rPr>
              <w:t>Кандидати</w:t>
            </w:r>
          </w:p>
        </w:tc>
        <w:tc>
          <w:tcPr>
            <w:tcW w:w="7201" w:type="dxa"/>
            <w:shd w:val="clear" w:color="auto" w:fill="F3F3F3"/>
          </w:tcPr>
          <w:p w14:paraId="3F404341" w14:textId="11E02579" w:rsidR="003754C6" w:rsidRPr="00F91A10" w:rsidRDefault="003754C6" w:rsidP="00F24FB4">
            <w:pPr>
              <w:spacing w:after="0" w:line="240" w:lineRule="auto"/>
              <w:jc w:val="both"/>
              <w:rPr>
                <w:rFonts w:ascii="Times New Roman" w:hAnsi="Times New Roman"/>
                <w:sz w:val="24"/>
              </w:rPr>
            </w:pPr>
            <w:r w:rsidRPr="00F91A10">
              <w:rPr>
                <w:rFonts w:ascii="Times New Roman" w:eastAsia="Times New Roman" w:hAnsi="Times New Roman" w:cs="Times New Roman"/>
                <w:color w:val="000000"/>
                <w:sz w:val="24"/>
                <w:szCs w:val="24"/>
                <w:lang w:eastAsia="bg-BG"/>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F24FB4" w:rsidRPr="00F91A10" w14:paraId="7DFE7DD3" w14:textId="77777777" w:rsidTr="001D201C">
        <w:tc>
          <w:tcPr>
            <w:tcW w:w="2405" w:type="dxa"/>
            <w:shd w:val="clear" w:color="auto" w:fill="E6E6E6"/>
          </w:tcPr>
          <w:p w14:paraId="7091F014" w14:textId="4892E23F" w:rsidR="00F24FB4" w:rsidRPr="00F91A10" w:rsidRDefault="00F24FB4" w:rsidP="00F24FB4">
            <w:pPr>
              <w:spacing w:before="100" w:beforeAutospacing="1" w:after="100" w:afterAutospacing="1" w:line="240" w:lineRule="auto"/>
              <w:rPr>
                <w:rFonts w:ascii="Times New Roman" w:eastAsia="Times New Roman" w:hAnsi="Times New Roman"/>
                <w:b/>
                <w:snapToGrid w:val="0"/>
                <w:sz w:val="24"/>
                <w:szCs w:val="24"/>
              </w:rPr>
            </w:pPr>
            <w:r w:rsidRPr="00F91A10">
              <w:rPr>
                <w:rFonts w:ascii="Times New Roman" w:eastAsia="Times New Roman" w:hAnsi="Times New Roman"/>
                <w:b/>
                <w:snapToGrid w:val="0"/>
                <w:sz w:val="24"/>
                <w:szCs w:val="24"/>
              </w:rPr>
              <w:lastRenderedPageBreak/>
              <w:t>Лигнитни въглища</w:t>
            </w:r>
          </w:p>
        </w:tc>
        <w:tc>
          <w:tcPr>
            <w:tcW w:w="7201" w:type="dxa"/>
            <w:shd w:val="clear" w:color="auto" w:fill="F3F3F3"/>
          </w:tcPr>
          <w:p w14:paraId="29B41E63" w14:textId="33CCC1D9" w:rsidR="00F24FB4" w:rsidRPr="00F91A10" w:rsidRDefault="00F24FB4" w:rsidP="00F24FB4">
            <w:pPr>
              <w:spacing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Съгласно чл. 2,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xml:space="preserve">. 43а от Регламент (ЕО) № 651/2014 „лигнитни въглища“ означава нискокалорични от категория В, </w:t>
            </w:r>
            <w:proofErr w:type="spellStart"/>
            <w:r w:rsidRPr="00F91A10">
              <w:rPr>
                <w:rFonts w:ascii="Times New Roman" w:eastAsia="Times New Roman" w:hAnsi="Times New Roman"/>
                <w:snapToGrid w:val="0"/>
                <w:sz w:val="24"/>
                <w:szCs w:val="24"/>
              </w:rPr>
              <w:t>ортолигнитни</w:t>
            </w:r>
            <w:proofErr w:type="spellEnd"/>
            <w:r w:rsidRPr="00F91A10">
              <w:rPr>
                <w:rFonts w:ascii="Times New Roman" w:eastAsia="Times New Roman" w:hAnsi="Times New Roman"/>
                <w:snapToGrid w:val="0"/>
                <w:sz w:val="24"/>
                <w:szCs w:val="24"/>
              </w:rPr>
              <w:t xml:space="preserve"> нискокалорични от категория Б или мета лигнитни въглища, както са определени в Международната система за кодификация на въглищата, съставена от Икономическата комисия за Европа на ООН.</w:t>
            </w:r>
          </w:p>
        </w:tc>
      </w:tr>
      <w:tr w:rsidR="00F91A10" w:rsidRPr="00F91A10" w14:paraId="5F350FF9" w14:textId="77777777" w:rsidTr="001D201C">
        <w:tc>
          <w:tcPr>
            <w:tcW w:w="2405" w:type="dxa"/>
            <w:shd w:val="clear" w:color="auto" w:fill="E6E6E6"/>
          </w:tcPr>
          <w:p w14:paraId="62ABE0B4"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Материални активи</w:t>
            </w:r>
          </w:p>
        </w:tc>
        <w:tc>
          <w:tcPr>
            <w:tcW w:w="7201" w:type="dxa"/>
            <w:shd w:val="clear" w:color="auto" w:fill="F3F3F3"/>
          </w:tcPr>
          <w:p w14:paraId="08F76E41" w14:textId="1FB598DE"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hAnsi="Times New Roman"/>
                <w:sz w:val="24"/>
              </w:rPr>
              <w:t xml:space="preserve">По смисъла на чл. 2, </w:t>
            </w:r>
            <w:proofErr w:type="spellStart"/>
            <w:r w:rsidRPr="00F91A10">
              <w:rPr>
                <w:rFonts w:ascii="Times New Roman" w:hAnsi="Times New Roman"/>
                <w:sz w:val="24"/>
              </w:rPr>
              <w:t>пар</w:t>
            </w:r>
            <w:proofErr w:type="spellEnd"/>
            <w:r w:rsidRPr="00F91A10">
              <w:rPr>
                <w:rFonts w:ascii="Times New Roman" w:hAnsi="Times New Roman"/>
                <w:sz w:val="24"/>
              </w:rPr>
              <w:t>. 29 от Регламент (ЕО) № 651/2014 „материални активи</w:t>
            </w:r>
            <w:r w:rsidRPr="00F91A10">
              <w:rPr>
                <w:rFonts w:ascii="Times New Roman" w:eastAsia="Times New Roman" w:hAnsi="Times New Roman"/>
                <w:snapToGrid w:val="0"/>
                <w:sz w:val="24"/>
                <w:szCs w:val="24"/>
              </w:rPr>
              <w:t>“</w:t>
            </w:r>
            <w:r w:rsidRPr="00F91A10">
              <w:rPr>
                <w:rFonts w:ascii="Times New Roman" w:hAnsi="Times New Roman"/>
                <w:sz w:val="24"/>
              </w:rPr>
              <w:t xml:space="preserve"> означава активи, състоящи се от земя, сгради, съоръжения, машини и оборудване.</w:t>
            </w:r>
            <w:r w:rsidRPr="00F91A10">
              <w:rPr>
                <w:rFonts w:ascii="Times New Roman" w:eastAsia="Times New Roman" w:hAnsi="Times New Roman"/>
                <w:snapToGrid w:val="0"/>
                <w:sz w:val="24"/>
                <w:szCs w:val="24"/>
              </w:rPr>
              <w:t xml:space="preserve"> </w:t>
            </w:r>
          </w:p>
          <w:p w14:paraId="76D8334D" w14:textId="174D58EE" w:rsidR="00F24FB4" w:rsidRPr="00F91A10" w:rsidRDefault="00F24FB4" w:rsidP="00F24FB4">
            <w:pPr>
              <w:spacing w:line="240" w:lineRule="auto"/>
              <w:jc w:val="both"/>
              <w:rPr>
                <w:rFonts w:ascii="Times New Roman" w:hAnsi="Times New Roman"/>
                <w:sz w:val="24"/>
              </w:rPr>
            </w:pPr>
            <w:r w:rsidRPr="00F91A10">
              <w:rPr>
                <w:rFonts w:ascii="Times New Roman" w:eastAsia="Times New Roman" w:hAnsi="Times New Roman"/>
                <w:b/>
                <w:snapToGrid w:val="0"/>
                <w:sz w:val="24"/>
                <w:szCs w:val="24"/>
              </w:rPr>
              <w:t>За целите на настоящата процедура допустими са само разходи за съоръжения, машини и оборудване.</w:t>
            </w:r>
          </w:p>
        </w:tc>
      </w:tr>
      <w:tr w:rsidR="00F24FB4" w:rsidRPr="00F91A10" w14:paraId="5E7B430D" w14:textId="77777777" w:rsidTr="001D201C">
        <w:tc>
          <w:tcPr>
            <w:tcW w:w="2405" w:type="dxa"/>
            <w:shd w:val="clear" w:color="auto" w:fill="E6E6E6"/>
          </w:tcPr>
          <w:p w14:paraId="0D596779"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hAnsi="Times New Roman"/>
                <w:b/>
                <w:sz w:val="24"/>
                <w:szCs w:val="24"/>
              </w:rPr>
              <w:t>Микро-, малки и средни предприятия (МСП)</w:t>
            </w:r>
          </w:p>
        </w:tc>
        <w:tc>
          <w:tcPr>
            <w:tcW w:w="7201" w:type="dxa"/>
            <w:shd w:val="clear" w:color="auto" w:fill="F3F3F3"/>
          </w:tcPr>
          <w:p w14:paraId="39E34B99" w14:textId="77777777" w:rsidR="00F24FB4" w:rsidRPr="00F91A10" w:rsidRDefault="00F24FB4" w:rsidP="00F24FB4">
            <w:pPr>
              <w:spacing w:after="120" w:line="240" w:lineRule="auto"/>
              <w:jc w:val="both"/>
              <w:rPr>
                <w:rFonts w:ascii="Times New Roman" w:hAnsi="Times New Roman"/>
                <w:sz w:val="24"/>
                <w:szCs w:val="24"/>
              </w:rPr>
            </w:pPr>
            <w:r w:rsidRPr="00F91A10">
              <w:rPr>
                <w:rFonts w:ascii="Times New Roman" w:hAnsi="Times New Roman"/>
                <w:sz w:val="24"/>
                <w:szCs w:val="24"/>
              </w:rPr>
              <w:t>По смисъла на чл. 3 от Закона за малките и средните предприятия (ЗМСП) и Приложение I към Регламент (ЕС) № 651/2014 на Комисията относно определението за микро-, малки и средни предприятия.</w:t>
            </w:r>
          </w:p>
          <w:p w14:paraId="5FD800BA"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Съгласно чл. 3 от ЗМСП, категорията малки и средни предприятия включва предприятията, които имат:</w:t>
            </w:r>
          </w:p>
          <w:p w14:paraId="7CA0B8BB"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1. </w:t>
            </w:r>
            <w:proofErr w:type="spellStart"/>
            <w:r w:rsidRPr="00F91A10">
              <w:rPr>
                <w:rFonts w:ascii="Times New Roman" w:eastAsia="Times New Roman" w:hAnsi="Times New Roman"/>
                <w:snapToGrid w:val="0"/>
                <w:sz w:val="24"/>
                <w:szCs w:val="24"/>
              </w:rPr>
              <w:t>средносписъчен</w:t>
            </w:r>
            <w:proofErr w:type="spellEnd"/>
            <w:r w:rsidRPr="00F91A10">
              <w:rPr>
                <w:rFonts w:ascii="Times New Roman" w:eastAsia="Times New Roman" w:hAnsi="Times New Roman"/>
                <w:snapToGrid w:val="0"/>
                <w:sz w:val="24"/>
                <w:szCs w:val="24"/>
              </w:rPr>
              <w:t xml:space="preserve"> брой на персонала, по-малък от 250 души, и</w:t>
            </w:r>
          </w:p>
          <w:p w14:paraId="3CDBE3FB"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2. годишен оборот, който не превишава 97 500 000 лв., и/или стойност на активите, която не превишава 84 000 000 лв.</w:t>
            </w:r>
          </w:p>
          <w:p w14:paraId="5AC5EC5F"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От предприятията по ал. 1 малки предприятия са тези, които имат:</w:t>
            </w:r>
          </w:p>
          <w:p w14:paraId="7609F0B2"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1. </w:t>
            </w:r>
            <w:proofErr w:type="spellStart"/>
            <w:r w:rsidRPr="00F91A10">
              <w:rPr>
                <w:rFonts w:ascii="Times New Roman" w:eastAsia="Times New Roman" w:hAnsi="Times New Roman"/>
                <w:snapToGrid w:val="0"/>
                <w:sz w:val="24"/>
                <w:szCs w:val="24"/>
              </w:rPr>
              <w:t>средносписъчен</w:t>
            </w:r>
            <w:proofErr w:type="spellEnd"/>
            <w:r w:rsidRPr="00F91A10">
              <w:rPr>
                <w:rFonts w:ascii="Times New Roman" w:eastAsia="Times New Roman" w:hAnsi="Times New Roman"/>
                <w:snapToGrid w:val="0"/>
                <w:sz w:val="24"/>
                <w:szCs w:val="24"/>
              </w:rPr>
              <w:t xml:space="preserve"> брой на персонала, по-малък от 50 души, и</w:t>
            </w:r>
          </w:p>
          <w:p w14:paraId="7663C3FD"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2. годишен оборот, който не превишава 19 500 000 лв., и/или стойност на активите, която не превишава 19 500 000 лв.</w:t>
            </w:r>
          </w:p>
          <w:p w14:paraId="6C62AD54"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От предприятията по ал. 1 </w:t>
            </w:r>
            <w:proofErr w:type="spellStart"/>
            <w:r w:rsidRPr="00F91A10">
              <w:rPr>
                <w:rFonts w:ascii="Times New Roman" w:eastAsia="Times New Roman" w:hAnsi="Times New Roman"/>
                <w:snapToGrid w:val="0"/>
                <w:sz w:val="24"/>
                <w:szCs w:val="24"/>
              </w:rPr>
              <w:t>микропредприятия</w:t>
            </w:r>
            <w:proofErr w:type="spellEnd"/>
            <w:r w:rsidRPr="00F91A10">
              <w:rPr>
                <w:rFonts w:ascii="Times New Roman" w:eastAsia="Times New Roman" w:hAnsi="Times New Roman"/>
                <w:snapToGrid w:val="0"/>
                <w:sz w:val="24"/>
                <w:szCs w:val="24"/>
              </w:rPr>
              <w:t xml:space="preserve"> са тези, които имат:</w:t>
            </w:r>
          </w:p>
          <w:p w14:paraId="20A0696D"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1. </w:t>
            </w:r>
            <w:proofErr w:type="spellStart"/>
            <w:r w:rsidRPr="00F91A10">
              <w:rPr>
                <w:rFonts w:ascii="Times New Roman" w:eastAsia="Times New Roman" w:hAnsi="Times New Roman"/>
                <w:snapToGrid w:val="0"/>
                <w:sz w:val="24"/>
                <w:szCs w:val="24"/>
              </w:rPr>
              <w:t>средносписъчен</w:t>
            </w:r>
            <w:proofErr w:type="spellEnd"/>
            <w:r w:rsidRPr="00F91A10">
              <w:rPr>
                <w:rFonts w:ascii="Times New Roman" w:eastAsia="Times New Roman" w:hAnsi="Times New Roman"/>
                <w:snapToGrid w:val="0"/>
                <w:sz w:val="24"/>
                <w:szCs w:val="24"/>
              </w:rPr>
              <w:t xml:space="preserve"> брой на персонала, по-малък от 10 души, и</w:t>
            </w:r>
          </w:p>
          <w:p w14:paraId="44F94274"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2. годишен оборот, който не превишава 3 900 000 лв., и/или стойност на активите, която не превишава 3 900 000 лв.</w:t>
            </w:r>
          </w:p>
          <w:p w14:paraId="29773D66" w14:textId="77777777" w:rsidR="00F24FB4" w:rsidRPr="00F91A10" w:rsidRDefault="00F24FB4" w:rsidP="00F24FB4">
            <w:pPr>
              <w:spacing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Данните за персонал, оборот и активи на предприятието се определят като се вземат предвид всички отношения на партньорство и свързаност съгласно чл. 4 от ЗМСП.</w:t>
            </w:r>
          </w:p>
        </w:tc>
      </w:tr>
      <w:tr w:rsidR="00F91A10" w:rsidRPr="00F91A10" w14:paraId="2B8C6DB6" w14:textId="77777777" w:rsidTr="001D201C">
        <w:tc>
          <w:tcPr>
            <w:tcW w:w="2405" w:type="dxa"/>
            <w:shd w:val="clear" w:color="auto" w:fill="E6E6E6"/>
          </w:tcPr>
          <w:p w14:paraId="1F316A7C"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 xml:space="preserve">Място на изпълнение на проекта </w:t>
            </w:r>
          </w:p>
        </w:tc>
        <w:tc>
          <w:tcPr>
            <w:tcW w:w="7201" w:type="dxa"/>
            <w:shd w:val="clear" w:color="auto" w:fill="F3F3F3"/>
          </w:tcPr>
          <w:p w14:paraId="45CED9F5" w14:textId="2DA93BDE" w:rsidR="00F24FB4" w:rsidRPr="00F91A10" w:rsidRDefault="00F24FB4" w:rsidP="00F24FB4">
            <w:pPr>
              <w:spacing w:line="240" w:lineRule="auto"/>
              <w:jc w:val="both"/>
              <w:rPr>
                <w:rFonts w:ascii="Times New Roman" w:hAnsi="Times New Roman"/>
                <w:sz w:val="24"/>
              </w:rPr>
            </w:pPr>
            <w:r w:rsidRPr="00F91A10">
              <w:rPr>
                <w:rFonts w:ascii="Times New Roman" w:hAnsi="Times New Roman"/>
                <w:sz w:val="24"/>
              </w:rPr>
              <w:t xml:space="preserve">Мястото на физическото осъществяване на </w:t>
            </w:r>
            <w:r w:rsidRPr="00F91A10">
              <w:rPr>
                <w:rFonts w:ascii="Times New Roman" w:eastAsia="Times New Roman" w:hAnsi="Times New Roman" w:cs="Times New Roman"/>
                <w:snapToGrid w:val="0"/>
                <w:sz w:val="24"/>
                <w:szCs w:val="24"/>
              </w:rPr>
              <w:t>проектното предложение</w:t>
            </w:r>
            <w:r w:rsidRPr="00F91A10">
              <w:rPr>
                <w:rFonts w:ascii="Times New Roman" w:hAnsi="Times New Roman"/>
                <w:sz w:val="24"/>
              </w:rPr>
              <w:t>.</w:t>
            </w:r>
          </w:p>
        </w:tc>
      </w:tr>
      <w:tr w:rsidR="00F91A10" w:rsidRPr="00F91A10" w14:paraId="4AD0DE1C" w14:textId="77777777" w:rsidTr="001D201C">
        <w:tc>
          <w:tcPr>
            <w:tcW w:w="2405" w:type="dxa"/>
            <w:shd w:val="clear" w:color="auto" w:fill="E6E6E6"/>
          </w:tcPr>
          <w:p w14:paraId="4559B390"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Национално съфинансиране</w:t>
            </w:r>
          </w:p>
        </w:tc>
        <w:tc>
          <w:tcPr>
            <w:tcW w:w="7201" w:type="dxa"/>
            <w:shd w:val="clear" w:color="auto" w:fill="F3F3F3"/>
          </w:tcPr>
          <w:p w14:paraId="1D4A69FD" w14:textId="77777777" w:rsidR="00F24FB4" w:rsidRPr="00F91A10" w:rsidRDefault="00F24FB4" w:rsidP="00F24FB4">
            <w:pPr>
              <w:spacing w:line="240" w:lineRule="auto"/>
              <w:jc w:val="both"/>
              <w:rPr>
                <w:rFonts w:ascii="Times New Roman" w:hAnsi="Times New Roman"/>
                <w:sz w:val="24"/>
              </w:rPr>
            </w:pPr>
            <w:r w:rsidRPr="00F91A10">
              <w:rPr>
                <w:rFonts w:ascii="Times New Roman" w:hAnsi="Times New Roman"/>
                <w:sz w:val="24"/>
              </w:rPr>
              <w:t>Съфинансиране, осигурено чрез трансфер от централния бюджет съгласно чл. 60, т. 2 от Закона за публичните финанси.</w:t>
            </w:r>
          </w:p>
        </w:tc>
      </w:tr>
      <w:tr w:rsidR="00F91A10" w:rsidRPr="00F91A10" w14:paraId="04034A90" w14:textId="77777777" w:rsidTr="001D201C">
        <w:tc>
          <w:tcPr>
            <w:tcW w:w="2405" w:type="dxa"/>
            <w:shd w:val="clear" w:color="auto" w:fill="E6E6E6"/>
          </w:tcPr>
          <w:p w14:paraId="49E5B1C9"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Нематериални активи</w:t>
            </w:r>
          </w:p>
        </w:tc>
        <w:tc>
          <w:tcPr>
            <w:tcW w:w="7201" w:type="dxa"/>
            <w:shd w:val="clear" w:color="auto" w:fill="F3F3F3"/>
          </w:tcPr>
          <w:p w14:paraId="0BE24F27" w14:textId="77777777" w:rsidR="00F24FB4" w:rsidRPr="00F91A10" w:rsidRDefault="00F24FB4" w:rsidP="00F24FB4">
            <w:pPr>
              <w:spacing w:after="120" w:line="240" w:lineRule="auto"/>
              <w:jc w:val="both"/>
              <w:rPr>
                <w:rFonts w:ascii="Times New Roman" w:hAnsi="Times New Roman"/>
                <w:sz w:val="24"/>
              </w:rPr>
            </w:pPr>
            <w:r w:rsidRPr="00F91A10">
              <w:rPr>
                <w:rFonts w:ascii="Times New Roman" w:hAnsi="Times New Roman"/>
                <w:sz w:val="24"/>
              </w:rPr>
              <w:t xml:space="preserve">По смисъла на чл. 2, </w:t>
            </w:r>
            <w:proofErr w:type="spellStart"/>
            <w:r w:rsidRPr="00F91A10">
              <w:rPr>
                <w:rFonts w:ascii="Times New Roman" w:hAnsi="Times New Roman"/>
                <w:sz w:val="24"/>
              </w:rPr>
              <w:t>пар</w:t>
            </w:r>
            <w:proofErr w:type="spellEnd"/>
            <w:r w:rsidRPr="00F91A10">
              <w:rPr>
                <w:rFonts w:ascii="Times New Roman" w:hAnsi="Times New Roman"/>
                <w:sz w:val="24"/>
              </w:rPr>
              <w:t xml:space="preserve">. 30 от Регламент (ЕО) № 651/2014 „Нематериални активи“ означава активи, които нямат физически или финансов израз, като патенти, лицензи, </w:t>
            </w:r>
            <w:proofErr w:type="spellStart"/>
            <w:r w:rsidRPr="00F91A10">
              <w:rPr>
                <w:rFonts w:ascii="Times New Roman" w:hAnsi="Times New Roman"/>
                <w:sz w:val="24"/>
              </w:rPr>
              <w:t>ноу</w:t>
            </w:r>
            <w:proofErr w:type="spellEnd"/>
            <w:r w:rsidRPr="00F91A10">
              <w:rPr>
                <w:rFonts w:ascii="Times New Roman" w:hAnsi="Times New Roman"/>
                <w:sz w:val="24"/>
              </w:rPr>
              <w:t xml:space="preserve">- </w:t>
            </w:r>
            <w:proofErr w:type="spellStart"/>
            <w:r w:rsidRPr="00F91A10">
              <w:rPr>
                <w:rFonts w:ascii="Times New Roman" w:hAnsi="Times New Roman"/>
                <w:sz w:val="24"/>
              </w:rPr>
              <w:t>хау</w:t>
            </w:r>
            <w:proofErr w:type="spellEnd"/>
            <w:r w:rsidRPr="00F91A10">
              <w:rPr>
                <w:rFonts w:ascii="Times New Roman" w:hAnsi="Times New Roman"/>
                <w:sz w:val="24"/>
              </w:rPr>
              <w:t xml:space="preserve"> или друга интелектуална собственост.</w:t>
            </w:r>
          </w:p>
        </w:tc>
      </w:tr>
      <w:tr w:rsidR="00F91A10" w:rsidRPr="00F91A10" w14:paraId="5D932D10" w14:textId="77777777" w:rsidTr="001D201C">
        <w:tc>
          <w:tcPr>
            <w:tcW w:w="2405" w:type="dxa"/>
            <w:shd w:val="clear" w:color="auto" w:fill="E6E6E6"/>
          </w:tcPr>
          <w:p w14:paraId="0D501D0E" w14:textId="77777777" w:rsidR="00F24FB4" w:rsidRPr="00F91A10" w:rsidRDefault="00F24FB4" w:rsidP="00F24FB4">
            <w:pPr>
              <w:spacing w:before="100" w:beforeAutospacing="1" w:after="100" w:afterAutospacing="1" w:line="240" w:lineRule="auto"/>
              <w:rPr>
                <w:rFonts w:ascii="Times New Roman" w:hAnsi="Times New Roman"/>
                <w:b/>
                <w:sz w:val="24"/>
              </w:rPr>
            </w:pPr>
            <w:proofErr w:type="spellStart"/>
            <w:r w:rsidRPr="00F91A10">
              <w:rPr>
                <w:rFonts w:ascii="Times New Roman" w:hAnsi="Times New Roman"/>
                <w:b/>
                <w:sz w:val="24"/>
              </w:rPr>
              <w:lastRenderedPageBreak/>
              <w:t>Ненанасяне</w:t>
            </w:r>
            <w:proofErr w:type="spellEnd"/>
            <w:r w:rsidRPr="00F91A10">
              <w:rPr>
                <w:rFonts w:ascii="Times New Roman" w:hAnsi="Times New Roman"/>
                <w:b/>
                <w:sz w:val="24"/>
              </w:rPr>
              <w:t xml:space="preserve"> на значителни вреди</w:t>
            </w:r>
          </w:p>
        </w:tc>
        <w:tc>
          <w:tcPr>
            <w:tcW w:w="7201" w:type="dxa"/>
            <w:shd w:val="clear" w:color="auto" w:fill="F3F3F3"/>
          </w:tcPr>
          <w:p w14:paraId="5577520A" w14:textId="77777777" w:rsidR="00F24FB4" w:rsidRPr="00F91A10" w:rsidRDefault="00F24FB4"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w:t>
            </w:r>
            <w:proofErr w:type="spellStart"/>
            <w:r w:rsidRPr="00F91A10">
              <w:rPr>
                <w:rFonts w:ascii="Times New Roman" w:hAnsi="Times New Roman"/>
                <w:sz w:val="24"/>
              </w:rPr>
              <w:t>Ненанасяне</w:t>
            </w:r>
            <w:proofErr w:type="spellEnd"/>
            <w:r w:rsidRPr="00F91A10">
              <w:rPr>
                <w:rFonts w:ascii="Times New Roman" w:hAnsi="Times New Roman"/>
                <w:sz w:val="24"/>
              </w:rPr>
              <w:t xml:space="preserve">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F91A10" w:rsidRPr="00F91A10" w14:paraId="2CA68EFE" w14:textId="77777777" w:rsidTr="001D201C">
        <w:tc>
          <w:tcPr>
            <w:tcW w:w="2405" w:type="dxa"/>
            <w:shd w:val="clear" w:color="auto" w:fill="E6E6E6"/>
          </w:tcPr>
          <w:p w14:paraId="72349A13"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 xml:space="preserve">Нередност </w:t>
            </w:r>
          </w:p>
        </w:tc>
        <w:tc>
          <w:tcPr>
            <w:tcW w:w="7201" w:type="dxa"/>
            <w:shd w:val="clear" w:color="auto" w:fill="F3F3F3"/>
          </w:tcPr>
          <w:p w14:paraId="6707ADE1" w14:textId="77777777" w:rsidR="00F24FB4" w:rsidRPr="00F91A10" w:rsidRDefault="00F24FB4"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F24FB4" w:rsidRPr="00F91A10" w14:paraId="5ABD472C" w14:textId="77777777" w:rsidTr="001D201C">
        <w:tc>
          <w:tcPr>
            <w:tcW w:w="2405" w:type="dxa"/>
            <w:shd w:val="clear" w:color="auto" w:fill="E6E6E6"/>
          </w:tcPr>
          <w:p w14:paraId="50116593"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Обхват на ЕФРР</w:t>
            </w:r>
          </w:p>
        </w:tc>
        <w:tc>
          <w:tcPr>
            <w:tcW w:w="7201" w:type="dxa"/>
            <w:shd w:val="clear" w:color="auto" w:fill="F3F3F3"/>
          </w:tcPr>
          <w:p w14:paraId="4672A725" w14:textId="77777777" w:rsidR="00F24FB4" w:rsidRPr="00F91A10" w:rsidRDefault="00F24FB4" w:rsidP="00F24FB4">
            <w:pPr>
              <w:spacing w:after="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Съгласно чл. 5 от Регламент (ЕС) 2021/1058:</w:t>
            </w:r>
          </w:p>
          <w:p w14:paraId="3783221D" w14:textId="77777777" w:rsidR="00F24FB4" w:rsidRPr="00F91A10" w:rsidRDefault="00F24FB4" w:rsidP="00F24FB4">
            <w:pPr>
              <w:spacing w:after="0" w:line="240" w:lineRule="auto"/>
              <w:jc w:val="both"/>
              <w:rPr>
                <w:rFonts w:ascii="Times New Roman" w:eastAsia="Times New Roman" w:hAnsi="Times New Roman"/>
                <w:b/>
                <w:bCs/>
                <w:snapToGrid w:val="0"/>
                <w:sz w:val="24"/>
                <w:szCs w:val="24"/>
              </w:rPr>
            </w:pPr>
            <w:r w:rsidRPr="00F91A10">
              <w:rPr>
                <w:rFonts w:ascii="Times New Roman" w:eastAsia="Times New Roman" w:hAnsi="Times New Roman"/>
                <w:b/>
                <w:bCs/>
                <w:snapToGrid w:val="0"/>
                <w:sz w:val="24"/>
                <w:szCs w:val="24"/>
              </w:rPr>
              <w:t>Обхват на подкрепата от ЕФРР</w:t>
            </w:r>
          </w:p>
          <w:p w14:paraId="3CC08D0D" w14:textId="77777777" w:rsidR="00F24FB4" w:rsidRPr="00F91A10" w:rsidRDefault="00F24FB4" w:rsidP="00F24FB4">
            <w:pPr>
              <w:spacing w:after="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1.   ЕФРР подкрепя следните дейности:</w:t>
            </w:r>
          </w:p>
          <w:tbl>
            <w:tblPr>
              <w:tblW w:w="5000" w:type="pct"/>
              <w:tblCellMar>
                <w:left w:w="0" w:type="dxa"/>
                <w:right w:w="0" w:type="dxa"/>
              </w:tblCellMar>
              <w:tblLook w:val="04A0" w:firstRow="1" w:lastRow="0" w:firstColumn="1" w:lastColumn="0" w:noHBand="0" w:noVBand="1"/>
            </w:tblPr>
            <w:tblGrid>
              <w:gridCol w:w="246"/>
              <w:gridCol w:w="6739"/>
            </w:tblGrid>
            <w:tr w:rsidR="00F24FB4" w:rsidRPr="00F91A10" w14:paraId="4469CB4D" w14:textId="77777777" w:rsidTr="00C676C5">
              <w:tc>
                <w:tcPr>
                  <w:tcW w:w="0" w:type="auto"/>
                  <w:shd w:val="clear" w:color="auto" w:fill="auto"/>
                  <w:hideMark/>
                </w:tcPr>
                <w:p w14:paraId="41EFEF62"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а)</w:t>
                  </w:r>
                </w:p>
              </w:tc>
              <w:tc>
                <w:tcPr>
                  <w:tcW w:w="0" w:type="auto"/>
                  <w:shd w:val="clear" w:color="auto" w:fill="auto"/>
                  <w:hideMark/>
                </w:tcPr>
                <w:p w14:paraId="2CBF5D44"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инвестиции в инфраструктура;</w:t>
                  </w:r>
                </w:p>
              </w:tc>
            </w:tr>
            <w:tr w:rsidR="00F24FB4" w:rsidRPr="00F91A10" w14:paraId="4E497F03" w14:textId="77777777" w:rsidTr="00C676C5">
              <w:tc>
                <w:tcPr>
                  <w:tcW w:w="0" w:type="auto"/>
                  <w:shd w:val="clear" w:color="auto" w:fill="auto"/>
                  <w:hideMark/>
                </w:tcPr>
                <w:p w14:paraId="29A91B65"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б)</w:t>
                  </w:r>
                </w:p>
              </w:tc>
              <w:tc>
                <w:tcPr>
                  <w:tcW w:w="0" w:type="auto"/>
                  <w:shd w:val="clear" w:color="auto" w:fill="auto"/>
                  <w:hideMark/>
                </w:tcPr>
                <w:p w14:paraId="578CC409"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дейности за приложни научни изследвания и иновации, включително индустриални научни изследвания, експериментална развойна дейност и проучвания за осъществимост;</w:t>
                  </w:r>
                </w:p>
              </w:tc>
            </w:tr>
            <w:tr w:rsidR="00F24FB4" w:rsidRPr="00F91A10" w14:paraId="1E560FD5" w14:textId="77777777" w:rsidTr="00C676C5">
              <w:tc>
                <w:tcPr>
                  <w:tcW w:w="0" w:type="auto"/>
                  <w:shd w:val="clear" w:color="auto" w:fill="auto"/>
                  <w:hideMark/>
                </w:tcPr>
                <w:p w14:paraId="749A6596"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в)</w:t>
                  </w:r>
                </w:p>
              </w:tc>
              <w:tc>
                <w:tcPr>
                  <w:tcW w:w="0" w:type="auto"/>
                  <w:shd w:val="clear" w:color="auto" w:fill="auto"/>
                  <w:hideMark/>
                </w:tcPr>
                <w:p w14:paraId="623820FA"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инвестиции в достъпа до услуги;</w:t>
                  </w:r>
                </w:p>
              </w:tc>
            </w:tr>
            <w:tr w:rsidR="00F24FB4" w:rsidRPr="00F91A10" w14:paraId="352C4B41" w14:textId="77777777" w:rsidTr="00C676C5">
              <w:tc>
                <w:tcPr>
                  <w:tcW w:w="0" w:type="auto"/>
                  <w:shd w:val="clear" w:color="auto" w:fill="auto"/>
                  <w:hideMark/>
                </w:tcPr>
                <w:p w14:paraId="66AA1F44"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г)</w:t>
                  </w:r>
                </w:p>
              </w:tc>
              <w:tc>
                <w:tcPr>
                  <w:tcW w:w="0" w:type="auto"/>
                  <w:shd w:val="clear" w:color="auto" w:fill="auto"/>
                  <w:hideMark/>
                </w:tcPr>
                <w:p w14:paraId="277E5915"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производствени инвестиции в МСП и инвестиции, насочени към запазване на съществуващите работни места и създаване на нови работни места;</w:t>
                  </w:r>
                </w:p>
              </w:tc>
            </w:tr>
            <w:tr w:rsidR="00F24FB4" w:rsidRPr="00F91A10" w14:paraId="2B461928" w14:textId="77777777" w:rsidTr="00C676C5">
              <w:tc>
                <w:tcPr>
                  <w:tcW w:w="0" w:type="auto"/>
                  <w:shd w:val="clear" w:color="auto" w:fill="auto"/>
                  <w:hideMark/>
                </w:tcPr>
                <w:p w14:paraId="7F4FC12B"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д)</w:t>
                  </w:r>
                </w:p>
              </w:tc>
              <w:tc>
                <w:tcPr>
                  <w:tcW w:w="0" w:type="auto"/>
                  <w:shd w:val="clear" w:color="auto" w:fill="auto"/>
                  <w:hideMark/>
                </w:tcPr>
                <w:p w14:paraId="31B2968B"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оборудване, софтуер и нематериални активи;</w:t>
                  </w:r>
                </w:p>
              </w:tc>
            </w:tr>
            <w:tr w:rsidR="00F24FB4" w:rsidRPr="00F91A10" w14:paraId="47C1155F" w14:textId="77777777" w:rsidTr="00C676C5">
              <w:tc>
                <w:tcPr>
                  <w:tcW w:w="0" w:type="auto"/>
                  <w:shd w:val="clear" w:color="auto" w:fill="auto"/>
                  <w:hideMark/>
                </w:tcPr>
                <w:p w14:paraId="3B3FD206"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е)</w:t>
                  </w:r>
                </w:p>
              </w:tc>
              <w:tc>
                <w:tcPr>
                  <w:tcW w:w="0" w:type="auto"/>
                  <w:shd w:val="clear" w:color="auto" w:fill="auto"/>
                  <w:hideMark/>
                </w:tcPr>
                <w:p w14:paraId="1A68F664"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изграждане на мрежи, сътрудничество, обмен на опит и дейности, включващи иновационни клъстери, включително между предприятия, научноизследователски организации и публични органи;</w:t>
                  </w:r>
                </w:p>
              </w:tc>
            </w:tr>
            <w:tr w:rsidR="00F24FB4" w:rsidRPr="00F91A10" w14:paraId="65A1151A" w14:textId="77777777" w:rsidTr="00C676C5">
              <w:tc>
                <w:tcPr>
                  <w:tcW w:w="0" w:type="auto"/>
                  <w:shd w:val="clear" w:color="auto" w:fill="auto"/>
                  <w:hideMark/>
                </w:tcPr>
                <w:p w14:paraId="555DBC72"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ж)</w:t>
                  </w:r>
                </w:p>
              </w:tc>
              <w:tc>
                <w:tcPr>
                  <w:tcW w:w="0" w:type="auto"/>
                  <w:shd w:val="clear" w:color="auto" w:fill="auto"/>
                  <w:hideMark/>
                </w:tcPr>
                <w:p w14:paraId="08134094"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информация, комуникация и проучвания; и</w:t>
                  </w:r>
                </w:p>
              </w:tc>
            </w:tr>
            <w:tr w:rsidR="00F24FB4" w:rsidRPr="00F91A10" w14:paraId="6C1A9109" w14:textId="77777777" w:rsidTr="00C676C5">
              <w:tc>
                <w:tcPr>
                  <w:tcW w:w="0" w:type="auto"/>
                  <w:shd w:val="clear" w:color="auto" w:fill="auto"/>
                  <w:hideMark/>
                </w:tcPr>
                <w:p w14:paraId="6FB36E25"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з)</w:t>
                  </w:r>
                </w:p>
              </w:tc>
              <w:tc>
                <w:tcPr>
                  <w:tcW w:w="0" w:type="auto"/>
                  <w:shd w:val="clear" w:color="auto" w:fill="auto"/>
                  <w:hideMark/>
                </w:tcPr>
                <w:p w14:paraId="51956A44"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техническа помощ.</w:t>
                  </w:r>
                </w:p>
              </w:tc>
            </w:tr>
          </w:tbl>
          <w:p w14:paraId="523AFA68" w14:textId="77777777" w:rsidR="00F24FB4" w:rsidRPr="00F91A10" w:rsidRDefault="00F24FB4" w:rsidP="00F24FB4">
            <w:pPr>
              <w:spacing w:after="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2.   Производствени инвестиции в предприятия, различни от МСП, могат да бъдат подкрепяни:</w:t>
            </w:r>
          </w:p>
          <w:tbl>
            <w:tblPr>
              <w:tblW w:w="5000" w:type="pct"/>
              <w:tblCellMar>
                <w:left w:w="0" w:type="dxa"/>
                <w:right w:w="0" w:type="dxa"/>
              </w:tblCellMar>
              <w:tblLook w:val="04A0" w:firstRow="1" w:lastRow="0" w:firstColumn="1" w:lastColumn="0" w:noHBand="0" w:noVBand="1"/>
            </w:tblPr>
            <w:tblGrid>
              <w:gridCol w:w="203"/>
              <w:gridCol w:w="6782"/>
            </w:tblGrid>
            <w:tr w:rsidR="00F24FB4" w:rsidRPr="00F91A10" w14:paraId="59AC4719" w14:textId="77777777" w:rsidTr="00C676C5">
              <w:tc>
                <w:tcPr>
                  <w:tcW w:w="0" w:type="auto"/>
                  <w:shd w:val="clear" w:color="auto" w:fill="auto"/>
                  <w:hideMark/>
                </w:tcPr>
                <w:p w14:paraId="3BA5569A"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а)</w:t>
                  </w:r>
                </w:p>
              </w:tc>
              <w:tc>
                <w:tcPr>
                  <w:tcW w:w="0" w:type="auto"/>
                  <w:shd w:val="clear" w:color="auto" w:fill="auto"/>
                  <w:hideMark/>
                </w:tcPr>
                <w:p w14:paraId="50F81E39"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когато включват сътрудничество с МСП във връзка с научноизследователски и иновационни дейности, подкрепяни по член 3, параграф 1, първа алинея, буква а), точка i);</w:t>
                  </w:r>
                </w:p>
              </w:tc>
            </w:tr>
            <w:tr w:rsidR="00F24FB4" w:rsidRPr="00F91A10" w14:paraId="1A75A703" w14:textId="77777777" w:rsidTr="00C676C5">
              <w:tc>
                <w:tcPr>
                  <w:tcW w:w="0" w:type="auto"/>
                  <w:shd w:val="clear" w:color="auto" w:fill="auto"/>
                  <w:hideMark/>
                </w:tcPr>
                <w:p w14:paraId="4130747B"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б)</w:t>
                  </w:r>
                </w:p>
              </w:tc>
              <w:tc>
                <w:tcPr>
                  <w:tcW w:w="0" w:type="auto"/>
                  <w:shd w:val="clear" w:color="auto" w:fill="auto"/>
                  <w:hideMark/>
                </w:tcPr>
                <w:p w14:paraId="7AF169D2"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когато се подкрепят предимно мерки за енергийна ефективност и енергия от възобновяеми източници съгласно член 3, параграф 1, първа алинея, буква б), точка i) и буква б), точка ii);</w:t>
                  </w:r>
                </w:p>
              </w:tc>
            </w:tr>
            <w:tr w:rsidR="00F24FB4" w:rsidRPr="00F91A10" w14:paraId="73C65C97" w14:textId="77777777" w:rsidTr="00C676C5">
              <w:tc>
                <w:tcPr>
                  <w:tcW w:w="0" w:type="auto"/>
                  <w:shd w:val="clear" w:color="auto" w:fill="auto"/>
                  <w:hideMark/>
                </w:tcPr>
                <w:p w14:paraId="2E94CC2C"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в)</w:t>
                  </w:r>
                </w:p>
              </w:tc>
              <w:tc>
                <w:tcPr>
                  <w:tcW w:w="0" w:type="auto"/>
                  <w:shd w:val="clear" w:color="auto" w:fill="auto"/>
                  <w:hideMark/>
                </w:tcPr>
                <w:p w14:paraId="1D6982A9"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когато се правят в малки дружества със средна пазарна капитализация и дружества със средна пазарна капитализация съгласно определението в член 2, точки 6 и 7 от Регламент (ЕС) 2015/1017 на Европейския парламент и на Съвета </w:t>
                  </w:r>
                  <w:hyperlink r:id="rId8" w:anchor="ntr21-L_2021231BG.01006001-E0021" w:history="1">
                    <w:r w:rsidRPr="00F91A10">
                      <w:rPr>
                        <w:rStyle w:val="Hyperlink"/>
                        <w:rFonts w:ascii="Times New Roman" w:eastAsia="Times New Roman" w:hAnsi="Times New Roman"/>
                        <w:snapToGrid w:val="0"/>
                        <w:sz w:val="24"/>
                        <w:szCs w:val="24"/>
                      </w:rPr>
                      <w:t>(</w:t>
                    </w:r>
                    <w:r w:rsidRPr="00F91A10">
                      <w:rPr>
                        <w:rStyle w:val="Hyperlink"/>
                        <w:rFonts w:ascii="Times New Roman" w:eastAsia="Times New Roman" w:hAnsi="Times New Roman"/>
                        <w:snapToGrid w:val="0"/>
                        <w:sz w:val="24"/>
                        <w:szCs w:val="24"/>
                        <w:vertAlign w:val="superscript"/>
                      </w:rPr>
                      <w:t>21</w:t>
                    </w:r>
                    <w:r w:rsidRPr="00F91A10">
                      <w:rPr>
                        <w:rStyle w:val="Hyperlink"/>
                        <w:rFonts w:ascii="Times New Roman" w:eastAsia="Times New Roman" w:hAnsi="Times New Roman"/>
                        <w:snapToGrid w:val="0"/>
                        <w:sz w:val="24"/>
                        <w:szCs w:val="24"/>
                      </w:rPr>
                      <w:t>)</w:t>
                    </w:r>
                  </w:hyperlink>
                  <w:r w:rsidRPr="00F91A10">
                    <w:rPr>
                      <w:rFonts w:ascii="Times New Roman" w:eastAsia="Times New Roman" w:hAnsi="Times New Roman"/>
                      <w:snapToGrid w:val="0"/>
                      <w:sz w:val="24"/>
                      <w:szCs w:val="24"/>
                    </w:rPr>
                    <w:t> чрез финансови инструменти; или</w:t>
                  </w:r>
                </w:p>
              </w:tc>
            </w:tr>
            <w:tr w:rsidR="00F24FB4" w:rsidRPr="00F91A10" w14:paraId="2BD3A2FB" w14:textId="77777777" w:rsidTr="00C676C5">
              <w:tc>
                <w:tcPr>
                  <w:tcW w:w="0" w:type="auto"/>
                  <w:shd w:val="clear" w:color="auto" w:fill="auto"/>
                  <w:hideMark/>
                </w:tcPr>
                <w:p w14:paraId="1BDB0CD6"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г)</w:t>
                  </w:r>
                </w:p>
              </w:tc>
              <w:tc>
                <w:tcPr>
                  <w:tcW w:w="0" w:type="auto"/>
                  <w:shd w:val="clear" w:color="auto" w:fill="auto"/>
                  <w:hideMark/>
                </w:tcPr>
                <w:p w14:paraId="3D882A82" w14:textId="77777777" w:rsidR="00F24FB4" w:rsidRPr="00F91A10" w:rsidRDefault="00F24FB4" w:rsidP="00FA4408">
                  <w:pPr>
                    <w:framePr w:hSpace="141" w:wrap="around" w:vAnchor="text" w:hAnchor="text" w:xAlign="right" w:y="1"/>
                    <w:spacing w:after="0" w:line="240" w:lineRule="auto"/>
                    <w:suppressOverlap/>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когато се правят в малки дружества със средна пазарна капитализация, в научноизследователски и иновационни дейности, подкрепяни по член 3, параграф 1, първа алинея, буква а), точка i).</w:t>
                  </w:r>
                </w:p>
              </w:tc>
            </w:tr>
          </w:tbl>
          <w:p w14:paraId="71204448" w14:textId="77777777" w:rsidR="00F24FB4" w:rsidRPr="00F91A10" w:rsidRDefault="00F24FB4" w:rsidP="00F24FB4">
            <w:pPr>
              <w:spacing w:after="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3.   С цел да допринесе за постигането на специфичната цел по ЦП 1, посочена в член 3, параграф 1, първа алинея, буква а), точка iv) ЕФРР подкрепя и дейности в областта на обучението, ученето през целия живот, преквалификацията и образованието.</w:t>
            </w:r>
          </w:p>
          <w:p w14:paraId="7DE87AD5" w14:textId="77777777" w:rsidR="00F24FB4" w:rsidRPr="00F91A10" w:rsidRDefault="00F24FB4" w:rsidP="00F24FB4">
            <w:pPr>
              <w:spacing w:after="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lastRenderedPageBreak/>
              <w:t>4.   С цел да допринесе за постигането на специфичната цел по ЦП 2, посочена в член 3, параграф 1, първа алинея, буква б), точка iv), и на специфичната цел по ЦП 4, посочена в буква г), точка v) от същата алинея, ЕФРР подкрепя също закупуването на стоки, необходими за подобряване на устойчивостта на системите за здравеопазване и устойчивостта на бедствия…</w:t>
            </w:r>
          </w:p>
        </w:tc>
      </w:tr>
      <w:tr w:rsidR="00F24FB4" w:rsidRPr="00F91A10" w14:paraId="46395B5B" w14:textId="77777777" w:rsidTr="001D201C">
        <w:tc>
          <w:tcPr>
            <w:tcW w:w="2405" w:type="dxa"/>
            <w:shd w:val="clear" w:color="auto" w:fill="E6E6E6"/>
          </w:tcPr>
          <w:p w14:paraId="2A603E53"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lastRenderedPageBreak/>
              <w:t>Печат за високи постижения</w:t>
            </w:r>
          </w:p>
        </w:tc>
        <w:tc>
          <w:tcPr>
            <w:tcW w:w="7201" w:type="dxa"/>
            <w:shd w:val="clear" w:color="auto" w:fill="F3F3F3"/>
          </w:tcPr>
          <w:p w14:paraId="4943B9BD"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Знак за качество, получен от Европейската комисия, който показва, че дадено предложение, представено по покана за представяне на предложения, е надхвърлило всички прагове за оценка, определени в работната програма, но не е могло да бъде финансирано, тъй като в работната програма няма наличен бюджет за тази покана, и което може да получи подкрепа от други източници на финансиране от Европейския съюз или на национално равнище."</w:t>
            </w:r>
          </w:p>
        </w:tc>
      </w:tr>
      <w:tr w:rsidR="00F91A10" w:rsidRPr="00F91A10" w14:paraId="482CB446" w14:textId="77777777" w:rsidTr="001D201C">
        <w:tc>
          <w:tcPr>
            <w:tcW w:w="2405" w:type="dxa"/>
            <w:shd w:val="clear" w:color="auto" w:fill="E6E6E6"/>
          </w:tcPr>
          <w:p w14:paraId="1AADDC9C"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Показател за краен продукт</w:t>
            </w:r>
          </w:p>
        </w:tc>
        <w:tc>
          <w:tcPr>
            <w:tcW w:w="7201" w:type="dxa"/>
            <w:shd w:val="clear" w:color="auto" w:fill="F3F3F3"/>
          </w:tcPr>
          <w:p w14:paraId="1AF51B80" w14:textId="4B73642D" w:rsidR="00F24FB4" w:rsidRPr="00F91A10" w:rsidRDefault="00F24FB4"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Показател за измерване на конкретните резултати от интервенцията</w:t>
            </w:r>
            <w:r w:rsidRPr="00F91A10">
              <w:rPr>
                <w:rFonts w:ascii="Times New Roman" w:hAnsi="Times New Roman"/>
                <w:sz w:val="24"/>
                <w:szCs w:val="24"/>
              </w:rPr>
              <w:t>/процедурата.</w:t>
            </w:r>
          </w:p>
        </w:tc>
      </w:tr>
      <w:tr w:rsidR="00F24FB4" w:rsidRPr="00F91A10" w14:paraId="5BE26BF0" w14:textId="77777777" w:rsidTr="001D201C">
        <w:tc>
          <w:tcPr>
            <w:tcW w:w="2405" w:type="dxa"/>
            <w:shd w:val="clear" w:color="auto" w:fill="E6E6E6"/>
          </w:tcPr>
          <w:p w14:paraId="41CFAF57"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hAnsi="Times New Roman"/>
                <w:b/>
                <w:sz w:val="24"/>
                <w:szCs w:val="24"/>
              </w:rPr>
              <w:t>Показател за резултат</w:t>
            </w:r>
          </w:p>
        </w:tc>
        <w:tc>
          <w:tcPr>
            <w:tcW w:w="7201" w:type="dxa"/>
            <w:shd w:val="clear" w:color="auto" w:fill="F3F3F3"/>
          </w:tcPr>
          <w:p w14:paraId="57867279"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hAnsi="Times New Roman"/>
                <w:sz w:val="24"/>
                <w:szCs w:val="24"/>
              </w:rPr>
              <w:t>Показател за измерване на последиците от получилите подкрепа интервенции/проекти от гледна точка по-специално на преките адресати, целевата група от населението или ползвателите на инфраструктурата.</w:t>
            </w:r>
          </w:p>
        </w:tc>
      </w:tr>
      <w:tr w:rsidR="00F24FB4" w:rsidRPr="00F91A10" w14:paraId="06B64937" w14:textId="77777777" w:rsidTr="001D201C">
        <w:tc>
          <w:tcPr>
            <w:tcW w:w="2405" w:type="dxa"/>
            <w:shd w:val="clear" w:color="auto" w:fill="E6E6E6"/>
          </w:tcPr>
          <w:p w14:paraId="1853CA2E"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Предприятие</w:t>
            </w:r>
          </w:p>
        </w:tc>
        <w:tc>
          <w:tcPr>
            <w:tcW w:w="7201" w:type="dxa"/>
            <w:shd w:val="clear" w:color="auto" w:fill="F3F3F3"/>
          </w:tcPr>
          <w:p w14:paraId="61800114"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F24FB4" w:rsidRPr="00F91A10" w14:paraId="233F05CC" w14:textId="77777777" w:rsidTr="001D201C">
        <w:tc>
          <w:tcPr>
            <w:tcW w:w="2405" w:type="dxa"/>
            <w:shd w:val="clear" w:color="auto" w:fill="E6E6E6"/>
          </w:tcPr>
          <w:p w14:paraId="1A237A81"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Предприятие в затруднено положение</w:t>
            </w:r>
          </w:p>
        </w:tc>
        <w:tc>
          <w:tcPr>
            <w:tcW w:w="7201" w:type="dxa"/>
            <w:shd w:val="clear" w:color="auto" w:fill="F3F3F3"/>
          </w:tcPr>
          <w:p w14:paraId="5E1F7131" w14:textId="77777777" w:rsidR="00F24FB4" w:rsidRPr="00F91A10" w:rsidRDefault="00F24FB4" w:rsidP="00F24FB4">
            <w:pPr>
              <w:spacing w:after="60"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Съгласно чл.2, пар.18 от Регламент (ЕО) № 651/2014</w:t>
            </w:r>
            <w:r w:rsidRPr="00F91A10">
              <w:rPr>
                <w:rFonts w:ascii="Times New Roman" w:hAnsi="Times New Roman" w:cs="Times New Roman"/>
              </w:rPr>
              <w:t xml:space="preserve"> </w:t>
            </w:r>
            <w:r w:rsidRPr="00F91A10">
              <w:rPr>
                <w:rFonts w:ascii="Times New Roman" w:eastAsia="Times New Roman" w:hAnsi="Times New Roman" w:cs="Times New Roman"/>
                <w:snapToGrid w:val="0"/>
                <w:sz w:val="24"/>
                <w:szCs w:val="24"/>
              </w:rPr>
              <w:t>предприятие в затруднено положение е предприятие, по отношение на което е изпълнено поне едно от следните обстоятелства:</w:t>
            </w:r>
          </w:p>
          <w:p w14:paraId="774645D4" w14:textId="77777777" w:rsidR="00F24FB4" w:rsidRPr="00F91A10" w:rsidRDefault="00F24FB4" w:rsidP="00F24FB4">
            <w:pPr>
              <w:spacing w:after="60"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а)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(което не е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а понятието „акционерен капитал" включва, когато е уместно, премии от акции;</w:t>
            </w:r>
          </w:p>
          <w:p w14:paraId="5DF1DED5" w14:textId="77777777" w:rsidR="00F24FB4" w:rsidRPr="00F91A10" w:rsidRDefault="00F24FB4" w:rsidP="00F24FB4">
            <w:pPr>
              <w:spacing w:after="60"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 xml:space="preserve">б) в случай на събирателно дружество, командитно дружество или едноличен търговец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w:t>
            </w:r>
            <w:r w:rsidRPr="00F91A10">
              <w:rPr>
                <w:rFonts w:ascii="Times New Roman" w:eastAsia="Times New Roman" w:hAnsi="Times New Roman" w:cs="Times New Roman"/>
                <w:snapToGrid w:val="0"/>
                <w:sz w:val="24"/>
                <w:szCs w:val="24"/>
              </w:rPr>
              <w:lastRenderedPageBreak/>
              <w:t>задълженията на дружеството", се разбира по-специално типовете дружества, посочени в приложение II към Директива 2013/34/ЕС;</w:t>
            </w:r>
          </w:p>
          <w:p w14:paraId="22FE854C" w14:textId="77777777" w:rsidR="00F24FB4" w:rsidRPr="00F91A10" w:rsidRDefault="00F24FB4" w:rsidP="00F24FB4">
            <w:pPr>
              <w:spacing w:after="60"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194C6803" w14:textId="77777777" w:rsidR="00F24FB4" w:rsidRPr="00F91A10" w:rsidRDefault="00F24FB4" w:rsidP="00F24FB4">
            <w:pPr>
              <w:spacing w:after="60"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tc>
      </w:tr>
      <w:tr w:rsidR="00F24FB4" w:rsidRPr="00F91A10" w14:paraId="1CB54B4B" w14:textId="77777777" w:rsidTr="001D201C">
        <w:tc>
          <w:tcPr>
            <w:tcW w:w="2405" w:type="dxa"/>
            <w:shd w:val="clear" w:color="auto" w:fill="E6E6E6"/>
          </w:tcPr>
          <w:p w14:paraId="43CE1A42"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lastRenderedPageBreak/>
              <w:t>Преработка на селскостопански продукти</w:t>
            </w:r>
          </w:p>
        </w:tc>
        <w:tc>
          <w:tcPr>
            <w:tcW w:w="7201" w:type="dxa"/>
            <w:shd w:val="clear" w:color="auto" w:fill="F3F3F3"/>
          </w:tcPr>
          <w:p w14:paraId="54D223D3"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Съгласно чл.2, пар.11 от Регламент (ЕО) № 651/2014</w:t>
            </w:r>
            <w:r w:rsidRPr="00F91A10">
              <w:rPr>
                <w:rFonts w:ascii="Times New Roman" w:hAnsi="Times New Roman" w:cs="Times New Roman"/>
              </w:rPr>
              <w:t xml:space="preserve"> </w:t>
            </w:r>
            <w:r w:rsidRPr="00F91A10">
              <w:rPr>
                <w:rFonts w:ascii="Times New Roman" w:eastAsia="Times New Roman" w:hAnsi="Times New Roman" w:cs="Times New Roman"/>
                <w:snapToGrid w:val="0"/>
                <w:sz w:val="24"/>
                <w:szCs w:val="24"/>
              </w:rPr>
              <w:t>това е</w:t>
            </w:r>
            <w:r w:rsidRPr="00F91A10">
              <w:rPr>
                <w:rFonts w:ascii="Times New Roman" w:hAnsi="Times New Roman" w:cs="Times New Roman"/>
              </w:rPr>
              <w:t xml:space="preserve"> </w:t>
            </w:r>
            <w:r w:rsidRPr="00F91A10">
              <w:rPr>
                <w:rFonts w:ascii="Times New Roman" w:eastAsia="Times New Roman" w:hAnsi="Times New Roman" w:cs="Times New Roman"/>
                <w:snapToGrid w:val="0"/>
                <w:sz w:val="24"/>
                <w:szCs w:val="24"/>
              </w:rPr>
              <w:t>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tc>
      </w:tr>
      <w:tr w:rsidR="00F91A10" w:rsidRPr="00F91A10" w14:paraId="388DB964" w14:textId="77777777" w:rsidTr="001D201C">
        <w:tc>
          <w:tcPr>
            <w:tcW w:w="2405" w:type="dxa"/>
            <w:shd w:val="clear" w:color="auto" w:fill="E6E6E6"/>
          </w:tcPr>
          <w:p w14:paraId="755BF19D"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Проект</w:t>
            </w:r>
          </w:p>
        </w:tc>
        <w:tc>
          <w:tcPr>
            <w:tcW w:w="7201" w:type="dxa"/>
            <w:shd w:val="clear" w:color="auto" w:fill="F3F3F3"/>
          </w:tcPr>
          <w:p w14:paraId="63511489" w14:textId="77777777" w:rsidR="00F24FB4" w:rsidRPr="00F91A10" w:rsidRDefault="00F24FB4"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 xml:space="preserve">Съвкупност от взаимосвързани и </w:t>
            </w:r>
            <w:proofErr w:type="spellStart"/>
            <w:r w:rsidRPr="00F91A10">
              <w:rPr>
                <w:rFonts w:ascii="Times New Roman" w:hAnsi="Times New Roman"/>
                <w:sz w:val="24"/>
              </w:rPr>
              <w:t>взаимодопълващи</w:t>
            </w:r>
            <w:proofErr w:type="spellEnd"/>
            <w:r w:rsidRPr="00F91A10">
              <w:rPr>
                <w:rFonts w:ascii="Times New Roman" w:hAnsi="Times New Roman"/>
                <w:sz w:val="24"/>
              </w:rPr>
              <w:t xml:space="preserve">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F91A10" w:rsidRPr="00F91A10" w14:paraId="509A0D2D" w14:textId="77777777" w:rsidTr="001D201C">
        <w:tc>
          <w:tcPr>
            <w:tcW w:w="2405" w:type="dxa"/>
            <w:shd w:val="clear" w:color="auto" w:fill="E6E6E6"/>
          </w:tcPr>
          <w:p w14:paraId="300E0134"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 xml:space="preserve">Проектно предложение </w:t>
            </w:r>
          </w:p>
        </w:tc>
        <w:tc>
          <w:tcPr>
            <w:tcW w:w="7201" w:type="dxa"/>
            <w:shd w:val="clear" w:color="auto" w:fill="F3F3F3"/>
          </w:tcPr>
          <w:p w14:paraId="2450F37F" w14:textId="77777777" w:rsidR="00F24FB4" w:rsidRPr="00F91A10" w:rsidRDefault="00F24FB4"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F24FB4" w:rsidRPr="00F91A10" w14:paraId="4743D44A" w14:textId="77777777" w:rsidTr="001D201C">
        <w:tc>
          <w:tcPr>
            <w:tcW w:w="2405" w:type="dxa"/>
            <w:shd w:val="clear" w:color="auto" w:fill="E6E6E6"/>
          </w:tcPr>
          <w:p w14:paraId="72163676"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t>Процедура за избор на изпълнител</w:t>
            </w:r>
          </w:p>
        </w:tc>
        <w:tc>
          <w:tcPr>
            <w:tcW w:w="7201" w:type="dxa"/>
            <w:shd w:val="clear" w:color="auto" w:fill="F3F3F3"/>
          </w:tcPr>
          <w:p w14:paraId="5934523D"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Система от свързани правила, при спазването на които се избира изпълнител, с когото да се сключи административен договор, финансиран със средства от Европейските фондове при споделено управление.</w:t>
            </w:r>
          </w:p>
        </w:tc>
      </w:tr>
      <w:tr w:rsidR="00F91A10" w:rsidRPr="00F91A10" w14:paraId="6EFBAF5A" w14:textId="77777777" w:rsidTr="001D201C">
        <w:tc>
          <w:tcPr>
            <w:tcW w:w="2405" w:type="dxa"/>
            <w:shd w:val="clear" w:color="auto" w:fill="E6E6E6"/>
          </w:tcPr>
          <w:p w14:paraId="65D43AE6" w14:textId="5498275D"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eastAsia="Times New Roman" w:hAnsi="Times New Roman"/>
                <w:b/>
                <w:snapToGrid w:val="0"/>
                <w:sz w:val="24"/>
                <w:szCs w:val="24"/>
              </w:rPr>
              <w:t>Публична подкрепа (държавно подпомагане)</w:t>
            </w:r>
          </w:p>
        </w:tc>
        <w:tc>
          <w:tcPr>
            <w:tcW w:w="7201" w:type="dxa"/>
            <w:shd w:val="clear" w:color="auto" w:fill="F3F3F3"/>
          </w:tcPr>
          <w:p w14:paraId="19E4862A" w14:textId="6B690EBB" w:rsidR="00F24FB4" w:rsidRPr="00F91A10" w:rsidRDefault="00F24FB4" w:rsidP="00F24FB4">
            <w:pPr>
              <w:spacing w:before="100" w:beforeAutospacing="1" w:after="100" w:afterAutospacing="1" w:line="240" w:lineRule="auto"/>
              <w:jc w:val="both"/>
              <w:rPr>
                <w:rFonts w:ascii="Times New Roman" w:hAnsi="Times New Roman"/>
                <w:sz w:val="24"/>
              </w:rPr>
            </w:pPr>
            <w:r w:rsidRPr="00F91A10">
              <w:rPr>
                <w:rFonts w:ascii="Times New Roman" w:eastAsia="Times New Roman" w:hAnsi="Times New Roman"/>
                <w:snapToGrid w:val="0"/>
                <w:sz w:val="24"/>
                <w:szCs w:val="24"/>
              </w:rPr>
              <w:t xml:space="preserve">„Публична подкрепа (държавно подпомагане)” означава всякаква финансова подкрепа за дадена операция, която произхожда от бюджета на национален, регионален или местен публичен орган, от бюджета на Съюза, от бюджета на </w:t>
            </w:r>
            <w:proofErr w:type="spellStart"/>
            <w:r w:rsidRPr="00F91A10">
              <w:rPr>
                <w:rFonts w:ascii="Times New Roman" w:eastAsia="Times New Roman" w:hAnsi="Times New Roman"/>
                <w:snapToGrid w:val="0"/>
                <w:sz w:val="24"/>
                <w:szCs w:val="24"/>
              </w:rPr>
              <w:t>публичноправни</w:t>
            </w:r>
            <w:proofErr w:type="spellEnd"/>
            <w:r w:rsidRPr="00F91A10">
              <w:rPr>
                <w:rFonts w:ascii="Times New Roman" w:eastAsia="Times New Roman" w:hAnsi="Times New Roman"/>
                <w:snapToGrid w:val="0"/>
                <w:sz w:val="24"/>
                <w:szCs w:val="24"/>
              </w:rPr>
              <w:t xml:space="preserve"> организации или от бюджета на сдружения на публични органи или организации, обекти на публичното право по смисъла на чл. 1,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9 от Директива 2004/18/ЕО на Европейския парламент и на Съвета. Финансовите инструменти, централно управлявани от ЕК, финансирани по линия на ЕСИФ, ЕФСУ или изпълнявани с национални средства, също представляват публична подкрепа</w:t>
            </w:r>
          </w:p>
        </w:tc>
      </w:tr>
      <w:tr w:rsidR="00F24FB4" w:rsidRPr="00F91A10" w14:paraId="5F88C99C" w14:textId="77777777" w:rsidTr="001D201C">
        <w:tc>
          <w:tcPr>
            <w:tcW w:w="2405" w:type="dxa"/>
            <w:shd w:val="clear" w:color="auto" w:fill="E6E6E6"/>
          </w:tcPr>
          <w:p w14:paraId="476F7274" w14:textId="28E599B0" w:rsidR="00F24FB4" w:rsidRPr="00F91A10" w:rsidRDefault="00F24FB4" w:rsidP="00F24FB4">
            <w:pPr>
              <w:spacing w:before="100" w:beforeAutospacing="1" w:after="100" w:afterAutospacing="1" w:line="240" w:lineRule="auto"/>
              <w:rPr>
                <w:rFonts w:ascii="Times New Roman" w:eastAsia="Times New Roman" w:hAnsi="Times New Roman"/>
                <w:b/>
                <w:snapToGrid w:val="0"/>
                <w:sz w:val="24"/>
                <w:szCs w:val="24"/>
              </w:rPr>
            </w:pPr>
            <w:r w:rsidRPr="00F91A10">
              <w:rPr>
                <w:rFonts w:ascii="Times New Roman" w:eastAsia="Times New Roman" w:hAnsi="Times New Roman" w:cs="Times New Roman"/>
                <w:b/>
                <w:bCs/>
                <w:color w:val="000000"/>
                <w:sz w:val="24"/>
                <w:szCs w:val="24"/>
                <w:lang w:eastAsia="bg-BG"/>
              </w:rPr>
              <w:t>Ръководител на Управляващия орган</w:t>
            </w:r>
          </w:p>
        </w:tc>
        <w:tc>
          <w:tcPr>
            <w:tcW w:w="7201" w:type="dxa"/>
            <w:shd w:val="clear" w:color="auto" w:fill="F3F3F3"/>
          </w:tcPr>
          <w:p w14:paraId="1986B2DF" w14:textId="3A439913" w:rsidR="00F24FB4" w:rsidRPr="00F91A10" w:rsidRDefault="00F24FB4" w:rsidP="00F24FB4">
            <w:pPr>
              <w:spacing w:before="100" w:beforeAutospacing="1" w:after="100" w:afterAutospacing="1" w:line="240" w:lineRule="auto"/>
              <w:jc w:val="both"/>
              <w:rPr>
                <w:rFonts w:ascii="Times New Roman" w:eastAsia="Times New Roman" w:hAnsi="Times New Roman"/>
                <w:snapToGrid w:val="0"/>
                <w:sz w:val="24"/>
                <w:szCs w:val="24"/>
              </w:rPr>
            </w:pPr>
            <w:r w:rsidRPr="00F91A10">
              <w:rPr>
                <w:rFonts w:ascii="Times New Roman" w:eastAsia="Times New Roman" w:hAnsi="Times New Roman" w:cs="Times New Roman"/>
                <w:color w:val="000000"/>
                <w:sz w:val="24"/>
                <w:szCs w:val="24"/>
                <w:lang w:eastAsia="bg-BG"/>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F24FB4" w:rsidRPr="00F91A10" w14:paraId="6F7EF9A9" w14:textId="77777777" w:rsidTr="001D201C">
        <w:tc>
          <w:tcPr>
            <w:tcW w:w="2405" w:type="dxa"/>
            <w:shd w:val="clear" w:color="auto" w:fill="E6E6E6"/>
          </w:tcPr>
          <w:p w14:paraId="23A384DB"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Първично селскостопанско производство</w:t>
            </w:r>
          </w:p>
        </w:tc>
        <w:tc>
          <w:tcPr>
            <w:tcW w:w="7201" w:type="dxa"/>
            <w:shd w:val="clear" w:color="auto" w:fill="F3F3F3"/>
          </w:tcPr>
          <w:p w14:paraId="532C8F36"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Съгласно чл.2, пар.9 от Регламент (ЕО) № 651/2014  това е производство на продукти на почвата и на животновъдството, изброени в Приложение I към Договора</w:t>
            </w:r>
            <w:r w:rsidRPr="00F91A10">
              <w:rPr>
                <w:rFonts w:ascii="Times New Roman" w:hAnsi="Times New Roman" w:cs="Times New Roman"/>
                <w:sz w:val="24"/>
                <w:szCs w:val="24"/>
              </w:rPr>
              <w:t xml:space="preserve"> </w:t>
            </w:r>
            <w:r w:rsidRPr="00F91A10">
              <w:rPr>
                <w:rFonts w:ascii="Times New Roman" w:eastAsia="Times New Roman" w:hAnsi="Times New Roman" w:cs="Times New Roman"/>
                <w:snapToGrid w:val="0"/>
                <w:sz w:val="24"/>
                <w:szCs w:val="24"/>
              </w:rPr>
              <w:t>за създаване на европейската общност без да се извършват никакви по-нататъшни операции, с които се променя естеството на тези продукти.</w:t>
            </w:r>
          </w:p>
        </w:tc>
      </w:tr>
      <w:tr w:rsidR="00F91A10" w:rsidRPr="00F91A10" w14:paraId="4270523D" w14:textId="77777777" w:rsidTr="001D201C">
        <w:tc>
          <w:tcPr>
            <w:tcW w:w="2405" w:type="dxa"/>
            <w:shd w:val="clear" w:color="auto" w:fill="E6E6E6"/>
          </w:tcPr>
          <w:p w14:paraId="48831571"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t>Свързани лица</w:t>
            </w:r>
          </w:p>
        </w:tc>
        <w:tc>
          <w:tcPr>
            <w:tcW w:w="7201" w:type="dxa"/>
            <w:shd w:val="clear" w:color="auto" w:fill="F3F3F3"/>
          </w:tcPr>
          <w:p w14:paraId="56F5F9D9" w14:textId="77777777" w:rsidR="007E7838" w:rsidRPr="00F91A10" w:rsidRDefault="007E7838" w:rsidP="00F24FB4">
            <w:pPr>
              <w:spacing w:before="60" w:after="60" w:line="240" w:lineRule="auto"/>
              <w:jc w:val="both"/>
              <w:rPr>
                <w:rFonts w:ascii="Times New Roman" w:hAnsi="Times New Roman"/>
                <w:sz w:val="24"/>
              </w:rPr>
            </w:pPr>
            <w:r w:rsidRPr="00F91A10">
              <w:rPr>
                <w:rFonts w:ascii="Times New Roman" w:hAnsi="Times New Roman"/>
                <w:sz w:val="24"/>
              </w:rPr>
              <w:t xml:space="preserve">Съгласно Закон за Сметната палата </w:t>
            </w:r>
          </w:p>
          <w:p w14:paraId="67E37AC0" w14:textId="66D16220" w:rsidR="00F24FB4" w:rsidRPr="00F91A10" w:rsidRDefault="00F24FB4" w:rsidP="00F24FB4">
            <w:pPr>
              <w:spacing w:before="60" w:after="60" w:line="240" w:lineRule="auto"/>
              <w:jc w:val="both"/>
              <w:rPr>
                <w:rFonts w:ascii="Times New Roman" w:hAnsi="Times New Roman"/>
                <w:sz w:val="24"/>
              </w:rPr>
            </w:pPr>
            <w:r w:rsidRPr="00F91A10">
              <w:rPr>
                <w:rFonts w:ascii="Times New Roman" w:eastAsia="Times New Roman" w:hAnsi="Times New Roman" w:cs="Times New Roman"/>
                <w:snapToGrid w:val="0"/>
                <w:sz w:val="24"/>
                <w:szCs w:val="24"/>
              </w:rPr>
              <w:lastRenderedPageBreak/>
              <w:t>"</w:t>
            </w:r>
            <w:r w:rsidRPr="00F91A10">
              <w:rPr>
                <w:rFonts w:ascii="Times New Roman" w:hAnsi="Times New Roman"/>
                <w:sz w:val="24"/>
              </w:rPr>
              <w:t>Свързани лица</w:t>
            </w:r>
            <w:r w:rsidRPr="00F91A10">
              <w:rPr>
                <w:rFonts w:ascii="Times New Roman" w:eastAsia="Times New Roman" w:hAnsi="Times New Roman" w:cs="Times New Roman"/>
                <w:snapToGrid w:val="0"/>
                <w:sz w:val="24"/>
                <w:szCs w:val="24"/>
              </w:rPr>
              <w:t>"</w:t>
            </w:r>
            <w:r w:rsidRPr="00F91A10">
              <w:rPr>
                <w:rFonts w:ascii="Times New Roman" w:hAnsi="Times New Roman"/>
                <w:sz w:val="24"/>
              </w:rPr>
              <w:t xml:space="preserve"> са:</w:t>
            </w:r>
          </w:p>
          <w:p w14:paraId="3DDD65E7" w14:textId="77777777" w:rsidR="00F24FB4" w:rsidRPr="00F91A10" w:rsidRDefault="007E7838" w:rsidP="00F24FB4">
            <w:pPr>
              <w:spacing w:before="60" w:after="60" w:line="240" w:lineRule="auto"/>
              <w:jc w:val="both"/>
              <w:rPr>
                <w:rFonts w:ascii="Times New Roman" w:hAnsi="Times New Roman"/>
                <w:sz w:val="24"/>
              </w:rPr>
            </w:pPr>
            <w:r w:rsidRPr="00F91A10">
              <w:rPr>
                <w:rFonts w:ascii="Times New Roman" w:hAnsi="Times New Roman"/>
                <w:sz w:val="24"/>
              </w:rPr>
              <w:t>а) съпрузите или лицата, които се намират във фактическо съжителство на съпружески начала, роднините по права линия, по съребрена линия - до четвърта степен включително, и по сватовство - до втора степен включително;</w:t>
            </w:r>
          </w:p>
          <w:p w14:paraId="67DA72BB" w14:textId="28524B93" w:rsidR="007E7838" w:rsidRPr="00F91A10" w:rsidRDefault="007E7838" w:rsidP="00F24FB4">
            <w:pPr>
              <w:spacing w:before="60" w:after="60" w:line="240" w:lineRule="auto"/>
              <w:jc w:val="both"/>
              <w:rPr>
                <w:rFonts w:ascii="Times New Roman" w:hAnsi="Times New Roman"/>
                <w:sz w:val="24"/>
              </w:rPr>
            </w:pPr>
            <w:r w:rsidRPr="00F91A10">
              <w:rPr>
                <w:rFonts w:ascii="Times New Roman" w:hAnsi="Times New Roman"/>
                <w:sz w:val="24"/>
              </w:rPr>
              <w:t>б) физически и юридически лица, с които лицето, заемащо публична длъжност, се намира в икономически или политически зависимости, които пораждат основателни съмнения в неговата безпристрастност и обективност.</w:t>
            </w:r>
          </w:p>
        </w:tc>
      </w:tr>
      <w:tr w:rsidR="00F91A10" w:rsidRPr="00F91A10" w14:paraId="67C37029" w14:textId="77777777" w:rsidTr="001D201C">
        <w:tc>
          <w:tcPr>
            <w:tcW w:w="2405" w:type="dxa"/>
            <w:shd w:val="clear" w:color="auto" w:fill="E6E6E6"/>
          </w:tcPr>
          <w:p w14:paraId="18A01E76" w14:textId="77777777" w:rsidR="00F24FB4" w:rsidRPr="00F91A10" w:rsidRDefault="00F24FB4" w:rsidP="00F24FB4">
            <w:pPr>
              <w:spacing w:before="100" w:beforeAutospacing="1" w:after="100" w:afterAutospacing="1" w:line="240" w:lineRule="auto"/>
              <w:rPr>
                <w:rFonts w:ascii="Times New Roman" w:hAnsi="Times New Roman"/>
                <w:b/>
                <w:sz w:val="24"/>
              </w:rPr>
            </w:pPr>
            <w:r w:rsidRPr="00F91A10">
              <w:rPr>
                <w:rFonts w:ascii="Times New Roman" w:hAnsi="Times New Roman"/>
                <w:b/>
                <w:sz w:val="24"/>
              </w:rPr>
              <w:lastRenderedPageBreak/>
              <w:t>Сделка между несвързани лица</w:t>
            </w:r>
          </w:p>
        </w:tc>
        <w:tc>
          <w:tcPr>
            <w:tcW w:w="7201" w:type="dxa"/>
            <w:shd w:val="clear" w:color="auto" w:fill="F3F3F3"/>
          </w:tcPr>
          <w:p w14:paraId="51BD571A" w14:textId="29307552" w:rsidR="00F24FB4" w:rsidRPr="00F91A10" w:rsidRDefault="00F24FB4" w:rsidP="00F24FB4">
            <w:pPr>
              <w:spacing w:before="100" w:beforeAutospacing="1" w:after="100" w:afterAutospacing="1" w:line="240" w:lineRule="auto"/>
              <w:jc w:val="both"/>
              <w:rPr>
                <w:rFonts w:ascii="Times New Roman" w:hAnsi="Times New Roman"/>
                <w:sz w:val="24"/>
              </w:rPr>
            </w:pPr>
            <w:r w:rsidRPr="00F91A10">
              <w:rPr>
                <w:rFonts w:ascii="Times New Roman" w:hAnsi="Times New Roman"/>
                <w:sz w:val="24"/>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p>
        </w:tc>
      </w:tr>
      <w:tr w:rsidR="00F24FB4" w:rsidRPr="00F91A10" w14:paraId="68B44984" w14:textId="77777777" w:rsidTr="001D201C">
        <w:tc>
          <w:tcPr>
            <w:tcW w:w="2405" w:type="dxa"/>
            <w:shd w:val="clear" w:color="auto" w:fill="E6E6E6"/>
          </w:tcPr>
          <w:p w14:paraId="3CC011F0"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cs="Times New Roman"/>
                <w:b/>
                <w:snapToGrid w:val="0"/>
                <w:sz w:val="24"/>
                <w:szCs w:val="24"/>
              </w:rPr>
              <w:t>Селскостопански продукт</w:t>
            </w:r>
          </w:p>
        </w:tc>
        <w:tc>
          <w:tcPr>
            <w:tcW w:w="7201" w:type="dxa"/>
            <w:shd w:val="clear" w:color="auto" w:fill="F3F3F3"/>
          </w:tcPr>
          <w:p w14:paraId="2F7CFAF5"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 xml:space="preserve">Съгласно чл. 2, </w:t>
            </w:r>
            <w:proofErr w:type="spellStart"/>
            <w:r w:rsidRPr="00F91A10">
              <w:rPr>
                <w:rFonts w:ascii="Times New Roman" w:eastAsia="Times New Roman" w:hAnsi="Times New Roman" w:cs="Times New Roman"/>
                <w:snapToGrid w:val="0"/>
                <w:sz w:val="24"/>
                <w:szCs w:val="24"/>
              </w:rPr>
              <w:t>пар</w:t>
            </w:r>
            <w:proofErr w:type="spellEnd"/>
            <w:r w:rsidRPr="00F91A10">
              <w:rPr>
                <w:rFonts w:ascii="Times New Roman" w:eastAsia="Times New Roman" w:hAnsi="Times New Roman" w:cs="Times New Roman"/>
                <w:snapToGrid w:val="0"/>
                <w:sz w:val="24"/>
                <w:szCs w:val="24"/>
              </w:rPr>
              <w:t xml:space="preserve">. 11 от Регламент (ЕС) № 651/2014 „селскостопански продукт“ означава продукти, изброени в приложение I към Договора, с изключение на продукти на рибарството и </w:t>
            </w:r>
            <w:proofErr w:type="spellStart"/>
            <w:r w:rsidRPr="00F91A10">
              <w:rPr>
                <w:rFonts w:ascii="Times New Roman" w:eastAsia="Times New Roman" w:hAnsi="Times New Roman" w:cs="Times New Roman"/>
                <w:snapToGrid w:val="0"/>
                <w:sz w:val="24"/>
                <w:szCs w:val="24"/>
              </w:rPr>
              <w:t>аквакултурите</w:t>
            </w:r>
            <w:proofErr w:type="spellEnd"/>
            <w:r w:rsidRPr="00F91A10">
              <w:rPr>
                <w:rFonts w:ascii="Times New Roman" w:eastAsia="Times New Roman" w:hAnsi="Times New Roman" w:cs="Times New Roman"/>
                <w:snapToGrid w:val="0"/>
                <w:sz w:val="24"/>
                <w:szCs w:val="24"/>
              </w:rPr>
              <w:t>, изброени в приложение I към Регламент (ЕС) № 1379/2013 на Европейския парламент и на Съвета от 11 декември 2013 г.;</w:t>
            </w:r>
          </w:p>
        </w:tc>
      </w:tr>
      <w:tr w:rsidR="00F24FB4" w:rsidRPr="00F91A10" w14:paraId="5553C6C0" w14:textId="77777777" w:rsidTr="001D201C">
        <w:tc>
          <w:tcPr>
            <w:tcW w:w="2405" w:type="dxa"/>
            <w:shd w:val="clear" w:color="auto" w:fill="E6E6E6"/>
          </w:tcPr>
          <w:p w14:paraId="677535DA"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t>Стоманодобивен сектор</w:t>
            </w:r>
          </w:p>
        </w:tc>
        <w:tc>
          <w:tcPr>
            <w:tcW w:w="7201" w:type="dxa"/>
            <w:shd w:val="clear" w:color="auto" w:fill="F3F3F3"/>
          </w:tcPr>
          <w:p w14:paraId="169FD16D"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Съгласно чл. 2,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43 от Регламент (ЕО) № 651/2014</w:t>
            </w:r>
            <w:r w:rsidRPr="00F91A10">
              <w:rPr>
                <w:rFonts w:ascii="Times New Roman" w:hAnsi="Times New Roman"/>
                <w:sz w:val="24"/>
                <w:szCs w:val="24"/>
              </w:rPr>
              <w:t xml:space="preserve"> </w:t>
            </w:r>
            <w:r w:rsidRPr="00F91A10">
              <w:rPr>
                <w:rFonts w:ascii="Times New Roman" w:eastAsia="Times New Roman" w:hAnsi="Times New Roman"/>
                <w:snapToGrid w:val="0"/>
                <w:sz w:val="24"/>
                <w:szCs w:val="24"/>
              </w:rPr>
              <w:t>„стоманодобивен сектор“ означава производството на едно или повече от следните изделия:</w:t>
            </w:r>
          </w:p>
          <w:p w14:paraId="0C32054A"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а) необработен чугун и </w:t>
            </w:r>
            <w:proofErr w:type="spellStart"/>
            <w:r w:rsidRPr="00F91A10">
              <w:rPr>
                <w:rFonts w:ascii="Times New Roman" w:eastAsia="Times New Roman" w:hAnsi="Times New Roman"/>
                <w:snapToGrid w:val="0"/>
                <w:sz w:val="24"/>
                <w:szCs w:val="24"/>
              </w:rPr>
              <w:t>феросплави</w:t>
            </w:r>
            <w:proofErr w:type="spellEnd"/>
            <w:r w:rsidRPr="00F91A10">
              <w:rPr>
                <w:rFonts w:ascii="Times New Roman" w:eastAsia="Times New Roman" w:hAnsi="Times New Roman"/>
                <w:snapToGrid w:val="0"/>
                <w:sz w:val="24"/>
                <w:szCs w:val="24"/>
              </w:rPr>
              <w:t>: необработен чугун за производство на стомана, леярски чугун и друг необработен чугун, огледални „</w:t>
            </w:r>
            <w:proofErr w:type="spellStart"/>
            <w:r w:rsidRPr="00F91A10">
              <w:rPr>
                <w:rFonts w:ascii="Times New Roman" w:eastAsia="Times New Roman" w:hAnsi="Times New Roman"/>
                <w:snapToGrid w:val="0"/>
                <w:sz w:val="24"/>
                <w:szCs w:val="24"/>
              </w:rPr>
              <w:t>шпигел</w:t>
            </w:r>
            <w:proofErr w:type="spellEnd"/>
            <w:r w:rsidRPr="00F91A10">
              <w:rPr>
                <w:rFonts w:ascii="Times New Roman" w:eastAsia="Times New Roman" w:hAnsi="Times New Roman"/>
                <w:snapToGrid w:val="0"/>
                <w:sz w:val="24"/>
                <w:szCs w:val="24"/>
              </w:rPr>
              <w:t xml:space="preserve">“ чугуни и </w:t>
            </w:r>
            <w:proofErr w:type="spellStart"/>
            <w:r w:rsidRPr="00F91A10">
              <w:rPr>
                <w:rFonts w:ascii="Times New Roman" w:eastAsia="Times New Roman" w:hAnsi="Times New Roman"/>
                <w:snapToGrid w:val="0"/>
                <w:sz w:val="24"/>
                <w:szCs w:val="24"/>
              </w:rPr>
              <w:t>високовъглероден</w:t>
            </w:r>
            <w:proofErr w:type="spellEnd"/>
            <w:r w:rsidRPr="00F91A10">
              <w:rPr>
                <w:rFonts w:ascii="Times New Roman" w:eastAsia="Times New Roman" w:hAnsi="Times New Roman"/>
                <w:snapToGrid w:val="0"/>
                <w:sz w:val="24"/>
                <w:szCs w:val="24"/>
              </w:rPr>
              <w:t xml:space="preserve"> </w:t>
            </w:r>
            <w:proofErr w:type="spellStart"/>
            <w:r w:rsidRPr="00F91A10">
              <w:rPr>
                <w:rFonts w:ascii="Times New Roman" w:eastAsia="Times New Roman" w:hAnsi="Times New Roman"/>
                <w:snapToGrid w:val="0"/>
                <w:sz w:val="24"/>
                <w:szCs w:val="24"/>
              </w:rPr>
              <w:t>фероманган</w:t>
            </w:r>
            <w:proofErr w:type="spellEnd"/>
            <w:r w:rsidRPr="00F91A10">
              <w:rPr>
                <w:rFonts w:ascii="Times New Roman" w:eastAsia="Times New Roman" w:hAnsi="Times New Roman"/>
                <w:snapToGrid w:val="0"/>
                <w:sz w:val="24"/>
                <w:szCs w:val="24"/>
              </w:rPr>
              <w:t xml:space="preserve">, без да се включват други </w:t>
            </w:r>
            <w:proofErr w:type="spellStart"/>
            <w:r w:rsidRPr="00F91A10">
              <w:rPr>
                <w:rFonts w:ascii="Times New Roman" w:eastAsia="Times New Roman" w:hAnsi="Times New Roman"/>
                <w:snapToGrid w:val="0"/>
                <w:sz w:val="24"/>
                <w:szCs w:val="24"/>
              </w:rPr>
              <w:t>феросплави</w:t>
            </w:r>
            <w:proofErr w:type="spellEnd"/>
            <w:r w:rsidRPr="00F91A10">
              <w:rPr>
                <w:rFonts w:ascii="Times New Roman" w:eastAsia="Times New Roman" w:hAnsi="Times New Roman"/>
                <w:snapToGrid w:val="0"/>
                <w:sz w:val="24"/>
                <w:szCs w:val="24"/>
              </w:rPr>
              <w:t>;</w:t>
            </w:r>
          </w:p>
          <w:p w14:paraId="76018E51"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б) суровини и полуготови продукти от желязо, обикновена стомана или специална стомана: лята стомана, на блокове или не, включително блокове за коване на полуготови изделия: </w:t>
            </w:r>
            <w:proofErr w:type="spellStart"/>
            <w:r w:rsidRPr="00F91A10">
              <w:rPr>
                <w:rFonts w:ascii="Times New Roman" w:eastAsia="Times New Roman" w:hAnsi="Times New Roman"/>
                <w:snapToGrid w:val="0"/>
                <w:sz w:val="24"/>
                <w:szCs w:val="24"/>
              </w:rPr>
              <w:t>блуми</w:t>
            </w:r>
            <w:proofErr w:type="spellEnd"/>
            <w:r w:rsidRPr="00F91A10">
              <w:rPr>
                <w:rFonts w:ascii="Times New Roman" w:eastAsia="Times New Roman" w:hAnsi="Times New Roman"/>
                <w:snapToGrid w:val="0"/>
                <w:sz w:val="24"/>
                <w:szCs w:val="24"/>
              </w:rPr>
              <w:t xml:space="preserve">, кръгли блокове и </w:t>
            </w:r>
            <w:proofErr w:type="spellStart"/>
            <w:r w:rsidRPr="00F91A10">
              <w:rPr>
                <w:rFonts w:ascii="Times New Roman" w:eastAsia="Times New Roman" w:hAnsi="Times New Roman"/>
                <w:snapToGrid w:val="0"/>
                <w:sz w:val="24"/>
                <w:szCs w:val="24"/>
              </w:rPr>
              <w:t>сляби</w:t>
            </w:r>
            <w:proofErr w:type="spellEnd"/>
            <w:r w:rsidRPr="00F91A10">
              <w:rPr>
                <w:rFonts w:ascii="Times New Roman" w:eastAsia="Times New Roman" w:hAnsi="Times New Roman"/>
                <w:snapToGrid w:val="0"/>
                <w:sz w:val="24"/>
                <w:szCs w:val="24"/>
              </w:rPr>
              <w:t xml:space="preserve">; листове и листове </w:t>
            </w:r>
            <w:proofErr w:type="spellStart"/>
            <w:r w:rsidRPr="00F91A10">
              <w:rPr>
                <w:rFonts w:ascii="Times New Roman" w:eastAsia="Times New Roman" w:hAnsi="Times New Roman"/>
                <w:snapToGrid w:val="0"/>
                <w:sz w:val="24"/>
                <w:szCs w:val="24"/>
              </w:rPr>
              <w:t>покалаена</w:t>
            </w:r>
            <w:proofErr w:type="spellEnd"/>
            <w:r w:rsidRPr="00F91A10">
              <w:rPr>
                <w:rFonts w:ascii="Times New Roman" w:eastAsia="Times New Roman" w:hAnsi="Times New Roman"/>
                <w:snapToGrid w:val="0"/>
                <w:sz w:val="24"/>
                <w:szCs w:val="24"/>
              </w:rPr>
              <w:t xml:space="preserve"> ламарина, горещо валцувани </w:t>
            </w:r>
            <w:proofErr w:type="spellStart"/>
            <w:r w:rsidRPr="00F91A10">
              <w:rPr>
                <w:rFonts w:ascii="Times New Roman" w:eastAsia="Times New Roman" w:hAnsi="Times New Roman"/>
                <w:snapToGrid w:val="0"/>
                <w:sz w:val="24"/>
                <w:szCs w:val="24"/>
              </w:rPr>
              <w:t>коилси</w:t>
            </w:r>
            <w:proofErr w:type="spellEnd"/>
            <w:r w:rsidRPr="00F91A10">
              <w:rPr>
                <w:rFonts w:ascii="Times New Roman" w:eastAsia="Times New Roman" w:hAnsi="Times New Roman"/>
                <w:snapToGrid w:val="0"/>
                <w:sz w:val="24"/>
                <w:szCs w:val="24"/>
              </w:rPr>
              <w:t>, с изключение на производство на течна стомана за леене от малки и средни леярни;</w:t>
            </w:r>
          </w:p>
          <w:p w14:paraId="34BDC099"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в) готови продукти след гореща обработка на желязо, обикновена стомана или специална стомана: релси, траверси, сглобяеми плоскости, единични плоскости, профили, тежки секции с дебелина 80 mm и по-голяма, валцувани плоскости, профили и секции с дебелина по-малко от 80 mm и плоскости по-тънки от 150 mm, тел, тръби с кръгло сечение и други профили, горещо валцувани вериги и ленти (включително ленти за тръби), </w:t>
            </w:r>
            <w:proofErr w:type="spellStart"/>
            <w:r w:rsidRPr="00F91A10">
              <w:rPr>
                <w:rFonts w:ascii="Times New Roman" w:eastAsia="Times New Roman" w:hAnsi="Times New Roman"/>
                <w:snapToGrid w:val="0"/>
                <w:sz w:val="24"/>
                <w:szCs w:val="24"/>
              </w:rPr>
              <w:t>плосковалцовани</w:t>
            </w:r>
            <w:proofErr w:type="spellEnd"/>
            <w:r w:rsidRPr="00F91A10">
              <w:rPr>
                <w:rFonts w:ascii="Times New Roman" w:eastAsia="Times New Roman" w:hAnsi="Times New Roman"/>
                <w:snapToGrid w:val="0"/>
                <w:sz w:val="24"/>
                <w:szCs w:val="24"/>
              </w:rPr>
              <w:t xml:space="preserve"> продукти и листове с дебелина 3 mm или повече, </w:t>
            </w:r>
            <w:proofErr w:type="spellStart"/>
            <w:r w:rsidRPr="00F91A10">
              <w:rPr>
                <w:rFonts w:ascii="Times New Roman" w:eastAsia="Times New Roman" w:hAnsi="Times New Roman"/>
                <w:snapToGrid w:val="0"/>
                <w:sz w:val="24"/>
                <w:szCs w:val="24"/>
              </w:rPr>
              <w:t>плосковалцовани</w:t>
            </w:r>
            <w:proofErr w:type="spellEnd"/>
            <w:r w:rsidRPr="00F91A10">
              <w:rPr>
                <w:rFonts w:ascii="Times New Roman" w:eastAsia="Times New Roman" w:hAnsi="Times New Roman"/>
                <w:snapToGrid w:val="0"/>
                <w:sz w:val="24"/>
                <w:szCs w:val="24"/>
              </w:rPr>
              <w:t xml:space="preserve"> продукти с универсално предназначение с дебелина 150 mm или повече, с изключение на тел и продукти от тел, полирани пръти и железни отливки;</w:t>
            </w:r>
          </w:p>
          <w:p w14:paraId="6E927B21"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lastRenderedPageBreak/>
              <w:t xml:space="preserve">г) готови продукти след студена обработка на желязо: </w:t>
            </w:r>
            <w:proofErr w:type="spellStart"/>
            <w:r w:rsidRPr="00F91A10">
              <w:rPr>
                <w:rFonts w:ascii="Times New Roman" w:eastAsia="Times New Roman" w:hAnsi="Times New Roman"/>
                <w:snapToGrid w:val="0"/>
                <w:sz w:val="24"/>
                <w:szCs w:val="24"/>
              </w:rPr>
              <w:t>покалаена</w:t>
            </w:r>
            <w:proofErr w:type="spellEnd"/>
            <w:r w:rsidRPr="00F91A10">
              <w:rPr>
                <w:rFonts w:ascii="Times New Roman" w:eastAsia="Times New Roman" w:hAnsi="Times New Roman"/>
                <w:snapToGrid w:val="0"/>
                <w:sz w:val="24"/>
                <w:szCs w:val="24"/>
              </w:rPr>
              <w:t xml:space="preserve"> ламарина, матова ламарина, черна ламарина, галванизирани или с други видове покритие листове ламарина, студено валцувани листове, електролитни листове, ленти за </w:t>
            </w:r>
            <w:proofErr w:type="spellStart"/>
            <w:r w:rsidRPr="00F91A10">
              <w:rPr>
                <w:rFonts w:ascii="Times New Roman" w:eastAsia="Times New Roman" w:hAnsi="Times New Roman"/>
                <w:snapToGrid w:val="0"/>
                <w:sz w:val="24"/>
                <w:szCs w:val="24"/>
              </w:rPr>
              <w:t>покалаена</w:t>
            </w:r>
            <w:proofErr w:type="spellEnd"/>
            <w:r w:rsidRPr="00F91A10">
              <w:rPr>
                <w:rFonts w:ascii="Times New Roman" w:eastAsia="Times New Roman" w:hAnsi="Times New Roman"/>
                <w:snapToGrid w:val="0"/>
                <w:sz w:val="24"/>
                <w:szCs w:val="24"/>
              </w:rPr>
              <w:t xml:space="preserve"> ламарина, студено валцувани плоскости, във форма на </w:t>
            </w:r>
            <w:proofErr w:type="spellStart"/>
            <w:r w:rsidRPr="00F91A10">
              <w:rPr>
                <w:rFonts w:ascii="Times New Roman" w:eastAsia="Times New Roman" w:hAnsi="Times New Roman"/>
                <w:snapToGrid w:val="0"/>
                <w:sz w:val="24"/>
                <w:szCs w:val="24"/>
              </w:rPr>
              <w:t>коилси</w:t>
            </w:r>
            <w:proofErr w:type="spellEnd"/>
            <w:r w:rsidRPr="00F91A10">
              <w:rPr>
                <w:rFonts w:ascii="Times New Roman" w:eastAsia="Times New Roman" w:hAnsi="Times New Roman"/>
                <w:snapToGrid w:val="0"/>
                <w:sz w:val="24"/>
                <w:szCs w:val="24"/>
              </w:rPr>
              <w:t xml:space="preserve"> или ленти;</w:t>
            </w:r>
          </w:p>
          <w:p w14:paraId="048AA11F"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д) тръби: всички безшевни стоманени тръби, запоени стоманени тръби с диаметър, превишаващ 406,4 mm.</w:t>
            </w:r>
          </w:p>
        </w:tc>
      </w:tr>
      <w:tr w:rsidR="00F24FB4" w:rsidRPr="00F91A10" w14:paraId="264D5A2E" w14:textId="77777777" w:rsidTr="001D201C">
        <w:tc>
          <w:tcPr>
            <w:tcW w:w="2405" w:type="dxa"/>
            <w:shd w:val="clear" w:color="auto" w:fill="E6E6E6"/>
          </w:tcPr>
          <w:p w14:paraId="09FC9F33"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lastRenderedPageBreak/>
              <w:t>Транспортен сектор</w:t>
            </w:r>
          </w:p>
        </w:tc>
        <w:tc>
          <w:tcPr>
            <w:tcW w:w="7201" w:type="dxa"/>
            <w:shd w:val="clear" w:color="auto" w:fill="F3F3F3"/>
          </w:tcPr>
          <w:p w14:paraId="3B742D23"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Съгласно чл. 2, </w:t>
            </w:r>
            <w:proofErr w:type="spellStart"/>
            <w:r w:rsidRPr="00F91A10">
              <w:rPr>
                <w:rFonts w:ascii="Times New Roman" w:eastAsia="Times New Roman" w:hAnsi="Times New Roman"/>
                <w:snapToGrid w:val="0"/>
                <w:sz w:val="24"/>
                <w:szCs w:val="24"/>
              </w:rPr>
              <w:t>пар</w:t>
            </w:r>
            <w:proofErr w:type="spellEnd"/>
            <w:r w:rsidRPr="00F91A10">
              <w:rPr>
                <w:rFonts w:ascii="Times New Roman" w:eastAsia="Times New Roman" w:hAnsi="Times New Roman"/>
                <w:snapToGrid w:val="0"/>
                <w:sz w:val="24"/>
                <w:szCs w:val="24"/>
              </w:rPr>
              <w:t>. 45 от Регламент (ЕО) № 651/2014,</w:t>
            </w:r>
            <w:r w:rsidRPr="00F91A10">
              <w:rPr>
                <w:rFonts w:ascii="Times New Roman" w:hAnsi="Times New Roman"/>
                <w:sz w:val="24"/>
                <w:szCs w:val="24"/>
              </w:rPr>
              <w:t xml:space="preserve"> </w:t>
            </w:r>
            <w:r w:rsidRPr="00F91A10">
              <w:rPr>
                <w:rFonts w:ascii="Times New Roman" w:eastAsia="Times New Roman" w:hAnsi="Times New Roman"/>
                <w:snapToGrid w:val="0"/>
                <w:sz w:val="24"/>
                <w:szCs w:val="24"/>
              </w:rPr>
              <w:t>„транспортен сектор“ означава превоз на пътници с въздушен, морски, автомобилен или железопътен транспорт и транспорт по вътрешни водни пътища или услугите по товарен превоз за чужда сметка или срещу възнаграждение.</w:t>
            </w:r>
          </w:p>
          <w:p w14:paraId="72F467BC"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По-специално „транспортен сектор“ означава следните дейности </w:t>
            </w:r>
            <w:r w:rsidRPr="00F91A10">
              <w:rPr>
                <w:rFonts w:ascii="Times New Roman" w:hAnsi="Times New Roman"/>
                <w:sz w:val="24"/>
                <w:szCs w:val="24"/>
              </w:rPr>
              <w:t xml:space="preserve">от гледна точка на статистическата класификация на икономическите дейности (NACE </w:t>
            </w:r>
            <w:proofErr w:type="spellStart"/>
            <w:r w:rsidRPr="00F91A10">
              <w:rPr>
                <w:rFonts w:ascii="Times New Roman" w:hAnsi="Times New Roman"/>
                <w:sz w:val="24"/>
                <w:szCs w:val="24"/>
              </w:rPr>
              <w:t>Rev</w:t>
            </w:r>
            <w:proofErr w:type="spellEnd"/>
            <w:r w:rsidRPr="00F91A10">
              <w:rPr>
                <w:rFonts w:ascii="Times New Roman" w:hAnsi="Times New Roman"/>
                <w:sz w:val="24"/>
                <w:szCs w:val="24"/>
              </w:rPr>
              <w:t>. 2), създадена с Регламент (ЕО) № 1893/2006 на Европейския парламент и на Съвета</w:t>
            </w:r>
            <w:r w:rsidRPr="00F91A10">
              <w:rPr>
                <w:rFonts w:ascii="Times New Roman" w:eastAsia="Times New Roman" w:hAnsi="Times New Roman"/>
                <w:snapToGrid w:val="0"/>
                <w:sz w:val="24"/>
                <w:szCs w:val="24"/>
              </w:rPr>
              <w:t>:</w:t>
            </w:r>
          </w:p>
          <w:p w14:paraId="253C9734" w14:textId="77777777" w:rsidR="00F24FB4" w:rsidRPr="00F91A10" w:rsidRDefault="00F24FB4" w:rsidP="00F24FB4">
            <w:pPr>
              <w:pStyle w:val="FootnoteText"/>
              <w:spacing w:after="120"/>
              <w:jc w:val="both"/>
              <w:rPr>
                <w:rFonts w:ascii="Times New Roman" w:eastAsia="Times New Roman" w:hAnsi="Times New Roman"/>
                <w:snapToGrid w:val="0"/>
                <w:sz w:val="24"/>
                <w:szCs w:val="24"/>
              </w:rPr>
            </w:pPr>
            <w:r w:rsidRPr="00F91A10">
              <w:rPr>
                <w:rFonts w:ascii="Times New Roman" w:hAnsi="Times New Roman"/>
                <w:sz w:val="24"/>
                <w:szCs w:val="24"/>
              </w:rPr>
              <w:t>а) NACE 49: Сухопътен транспорт и тръбопроводен транспорт с изключение на NACE 49.32 Таксиметрови превози, 49.39. Управление на лифтове, въжени линии, ски и кабелни лифтове, ако не са част от градски или крайградски системи за транзитен превоз 49.42 Услуги по преместване, 49.5 Тръбопроводен транспорт (</w:t>
            </w:r>
            <w:r w:rsidRPr="00F91A10">
              <w:rPr>
                <w:rFonts w:ascii="Times New Roman" w:hAnsi="Times New Roman"/>
                <w:i/>
                <w:sz w:val="24"/>
                <w:szCs w:val="24"/>
              </w:rPr>
              <w:t xml:space="preserve">съгласно </w:t>
            </w:r>
            <w:r w:rsidRPr="00F91A10">
              <w:rPr>
                <w:rFonts w:ascii="Times New Roman" w:eastAsia="Times New Roman" w:hAnsi="Times New Roman"/>
                <w:i/>
                <w:snapToGrid w:val="0"/>
                <w:sz w:val="24"/>
                <w:szCs w:val="24"/>
              </w:rPr>
              <w:t xml:space="preserve">КИД-2008 на НСИ - Н49 „Сухопътен транспорт“, с изключение на: Н49.32 „Пътнически таксиметров транспорт“, Н49.39 „Друг пътнически сухопътен транспорт, некласифициран другаде“ САМО дейност „Превоз на пътници с </w:t>
            </w:r>
            <w:r w:rsidRPr="00F91A10">
              <w:rPr>
                <w:rFonts w:ascii="Times New Roman" w:hAnsi="Times New Roman"/>
                <w:i/>
                <w:sz w:val="24"/>
                <w:szCs w:val="24"/>
              </w:rPr>
              <w:t>въжени линии и ски лифтове, когато не е част от градските или крайградските транспортни мрежи</w:t>
            </w:r>
            <w:r w:rsidRPr="00F91A10">
              <w:rPr>
                <w:rFonts w:ascii="Times New Roman" w:eastAsia="Times New Roman" w:hAnsi="Times New Roman"/>
                <w:i/>
                <w:snapToGrid w:val="0"/>
                <w:sz w:val="24"/>
                <w:szCs w:val="24"/>
              </w:rPr>
              <w:t>“, Н49.42 „Услуги по преместване“ и Н49.5 „Тръбопроводен транспорт“</w:t>
            </w:r>
            <w:r w:rsidRPr="00F91A10">
              <w:rPr>
                <w:rFonts w:ascii="Times New Roman" w:eastAsia="Times New Roman" w:hAnsi="Times New Roman"/>
                <w:snapToGrid w:val="0"/>
                <w:sz w:val="24"/>
                <w:szCs w:val="24"/>
              </w:rPr>
              <w:t>);</w:t>
            </w:r>
          </w:p>
          <w:p w14:paraId="20815BC4"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 xml:space="preserve">б) </w:t>
            </w:r>
            <w:r w:rsidRPr="00F91A10">
              <w:rPr>
                <w:rFonts w:ascii="Times New Roman" w:hAnsi="Times New Roman"/>
                <w:sz w:val="24"/>
                <w:szCs w:val="24"/>
              </w:rPr>
              <w:t>NACE 50: Воден транспорт</w:t>
            </w:r>
            <w:r w:rsidRPr="00F91A10">
              <w:rPr>
                <w:rFonts w:ascii="Times New Roman" w:eastAsia="Times New Roman" w:hAnsi="Times New Roman"/>
                <w:snapToGrid w:val="0"/>
                <w:sz w:val="24"/>
                <w:szCs w:val="24"/>
              </w:rPr>
              <w:t xml:space="preserve"> (</w:t>
            </w:r>
            <w:r w:rsidRPr="00F91A10">
              <w:rPr>
                <w:rFonts w:ascii="Times New Roman" w:hAnsi="Times New Roman"/>
                <w:i/>
                <w:sz w:val="24"/>
                <w:szCs w:val="24"/>
              </w:rPr>
              <w:t xml:space="preserve">съгласно </w:t>
            </w:r>
            <w:r w:rsidRPr="00F91A10">
              <w:rPr>
                <w:rFonts w:ascii="Times New Roman" w:eastAsia="Times New Roman" w:hAnsi="Times New Roman"/>
                <w:i/>
                <w:snapToGrid w:val="0"/>
                <w:sz w:val="24"/>
                <w:szCs w:val="24"/>
              </w:rPr>
              <w:t>КИД-2008 на НСИ - Н50 „Воден транспорт“</w:t>
            </w:r>
            <w:r w:rsidRPr="00F91A10">
              <w:rPr>
                <w:rFonts w:ascii="Times New Roman" w:eastAsia="Times New Roman" w:hAnsi="Times New Roman"/>
                <w:snapToGrid w:val="0"/>
                <w:sz w:val="24"/>
                <w:szCs w:val="24"/>
              </w:rPr>
              <w:t>);</w:t>
            </w:r>
          </w:p>
          <w:p w14:paraId="1DAA38AF" w14:textId="77777777" w:rsidR="00F24FB4" w:rsidRPr="00F91A10" w:rsidRDefault="00F24FB4" w:rsidP="00F24FB4">
            <w:pPr>
              <w:spacing w:before="100" w:beforeAutospacing="1" w:after="100" w:afterAutospacing="1"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 xml:space="preserve">в) </w:t>
            </w:r>
            <w:r w:rsidRPr="00F91A10">
              <w:rPr>
                <w:rFonts w:ascii="Times New Roman" w:hAnsi="Times New Roman"/>
                <w:sz w:val="24"/>
                <w:szCs w:val="24"/>
              </w:rPr>
              <w:t>NACE 51: Въздушен транспорт с изключение на NACE 51.22 Космически транспорт</w:t>
            </w:r>
            <w:r w:rsidRPr="00F91A10">
              <w:rPr>
                <w:rFonts w:ascii="Times New Roman" w:eastAsia="Times New Roman" w:hAnsi="Times New Roman"/>
                <w:snapToGrid w:val="0"/>
                <w:sz w:val="24"/>
                <w:szCs w:val="24"/>
              </w:rPr>
              <w:t xml:space="preserve"> (</w:t>
            </w:r>
            <w:r w:rsidRPr="00F91A10">
              <w:rPr>
                <w:rFonts w:ascii="Times New Roman" w:hAnsi="Times New Roman"/>
                <w:i/>
                <w:sz w:val="24"/>
                <w:szCs w:val="24"/>
              </w:rPr>
              <w:t xml:space="preserve">съгласно </w:t>
            </w:r>
            <w:r w:rsidRPr="00F91A10">
              <w:rPr>
                <w:rFonts w:ascii="Times New Roman" w:eastAsia="Times New Roman" w:hAnsi="Times New Roman"/>
                <w:i/>
                <w:snapToGrid w:val="0"/>
                <w:sz w:val="24"/>
                <w:szCs w:val="24"/>
              </w:rPr>
              <w:t>КИД-2008 на НСИ - Н51 „Въздушен транспорт“, с изключение на Н51.22 „Космически транспорт“</w:t>
            </w:r>
            <w:r w:rsidRPr="00F91A10">
              <w:rPr>
                <w:rFonts w:ascii="Times New Roman" w:eastAsia="Times New Roman" w:hAnsi="Times New Roman"/>
                <w:snapToGrid w:val="0"/>
                <w:sz w:val="24"/>
                <w:szCs w:val="24"/>
              </w:rPr>
              <w:t>).</w:t>
            </w:r>
          </w:p>
        </w:tc>
      </w:tr>
      <w:tr w:rsidR="00F24FB4" w:rsidRPr="00F91A10" w14:paraId="0775D06C" w14:textId="77777777" w:rsidTr="001D201C">
        <w:tc>
          <w:tcPr>
            <w:tcW w:w="2405" w:type="dxa"/>
            <w:shd w:val="clear" w:color="auto" w:fill="E6E6E6"/>
          </w:tcPr>
          <w:p w14:paraId="008970EE"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t>Транспортни средства</w:t>
            </w:r>
            <w:r w:rsidRPr="00F91A10">
              <w:t xml:space="preserve"> </w:t>
            </w:r>
            <w:r w:rsidRPr="00F91A10">
              <w:rPr>
                <w:rFonts w:ascii="Times New Roman" w:eastAsia="Times New Roman" w:hAnsi="Times New Roman"/>
                <w:b/>
                <w:snapToGrid w:val="0"/>
                <w:sz w:val="24"/>
                <w:szCs w:val="24"/>
              </w:rPr>
              <w:t>и съоръжения</w:t>
            </w:r>
          </w:p>
        </w:tc>
        <w:tc>
          <w:tcPr>
            <w:tcW w:w="7201" w:type="dxa"/>
            <w:shd w:val="clear" w:color="auto" w:fill="F3F3F3"/>
          </w:tcPr>
          <w:p w14:paraId="33BE0240" w14:textId="77777777" w:rsidR="00F24FB4" w:rsidRPr="00F91A10" w:rsidRDefault="00F24FB4" w:rsidP="00F24FB4">
            <w:pPr>
              <w:pStyle w:val="FootnoteText"/>
              <w:spacing w:after="120"/>
              <w:jc w:val="both"/>
              <w:rPr>
                <w:rFonts w:ascii="Times New Roman" w:hAnsi="Times New Roman"/>
                <w:sz w:val="24"/>
                <w:szCs w:val="24"/>
              </w:rPr>
            </w:pPr>
            <w:r w:rsidRPr="00F91A10">
              <w:rPr>
                <w:rFonts w:ascii="Times New Roman" w:hAnsi="Times New Roman"/>
                <w:sz w:val="24"/>
                <w:szCs w:val="24"/>
              </w:rPr>
              <w:t>Включва следните дефиниции:</w:t>
            </w:r>
          </w:p>
          <w:p w14:paraId="1B69160A" w14:textId="77777777" w:rsidR="00F24FB4" w:rsidRPr="00F91A10" w:rsidRDefault="00F24FB4" w:rsidP="00F24FB4">
            <w:pPr>
              <w:pStyle w:val="FootnoteText"/>
              <w:spacing w:after="120"/>
              <w:jc w:val="both"/>
              <w:rPr>
                <w:rFonts w:ascii="Times New Roman" w:hAnsi="Times New Roman"/>
                <w:i/>
                <w:sz w:val="24"/>
                <w:szCs w:val="24"/>
              </w:rPr>
            </w:pPr>
            <w:r w:rsidRPr="00F91A10">
              <w:rPr>
                <w:rFonts w:ascii="Times New Roman" w:hAnsi="Times New Roman"/>
                <w:sz w:val="24"/>
                <w:szCs w:val="24"/>
              </w:rPr>
              <w:t xml:space="preserve"> - </w:t>
            </w:r>
            <w:r w:rsidRPr="00F91A10">
              <w:rPr>
                <w:rFonts w:ascii="Times New Roman" w:hAnsi="Times New Roman"/>
                <w:i/>
                <w:sz w:val="24"/>
                <w:szCs w:val="24"/>
              </w:rPr>
              <w:t>Съгласно Закона за движението по пътищата:</w:t>
            </w:r>
          </w:p>
          <w:p w14:paraId="297F32DF" w14:textId="77777777" w:rsidR="00F24FB4" w:rsidRPr="00F91A10" w:rsidRDefault="00F24FB4" w:rsidP="00F24FB4">
            <w:pPr>
              <w:pStyle w:val="FootnoteText"/>
              <w:spacing w:after="120"/>
              <w:jc w:val="both"/>
              <w:rPr>
                <w:rFonts w:ascii="Times New Roman" w:hAnsi="Times New Roman"/>
                <w:sz w:val="24"/>
                <w:szCs w:val="24"/>
              </w:rPr>
            </w:pPr>
            <w:r w:rsidRPr="00F91A10">
              <w:rPr>
                <w:rFonts w:ascii="Times New Roman" w:hAnsi="Times New Roman"/>
                <w:sz w:val="24"/>
                <w:szCs w:val="24"/>
              </w:rPr>
              <w:t>1. "Пътно превозно средство" е съоръжение, придвижвано по пътя на колела и използвано за превозване на хора и/или товари. Към пътните превозни средства се приравняват трамваите и самоходните машини, когато се придвижват по пътищата.</w:t>
            </w:r>
          </w:p>
          <w:p w14:paraId="0FCF5DCF" w14:textId="77777777" w:rsidR="00F24FB4" w:rsidRPr="00F91A10" w:rsidRDefault="00F24FB4" w:rsidP="00F24FB4">
            <w:pPr>
              <w:pStyle w:val="FootnoteText"/>
              <w:spacing w:after="120"/>
              <w:jc w:val="both"/>
              <w:rPr>
                <w:rFonts w:ascii="Times New Roman" w:hAnsi="Times New Roman"/>
                <w:sz w:val="24"/>
                <w:szCs w:val="24"/>
              </w:rPr>
            </w:pPr>
            <w:r w:rsidRPr="00F91A10">
              <w:rPr>
                <w:rFonts w:ascii="Times New Roman" w:hAnsi="Times New Roman"/>
                <w:sz w:val="24"/>
                <w:szCs w:val="24"/>
              </w:rPr>
              <w:t>2. "Моторно превозно средство" е пътно превозно средство, снабдено с двигател за придвижване, с изключение на релсовите превозни средства.</w:t>
            </w:r>
          </w:p>
          <w:p w14:paraId="214E804A" w14:textId="77777777" w:rsidR="00F24FB4" w:rsidRPr="00F91A10" w:rsidRDefault="00F24FB4" w:rsidP="00F24FB4">
            <w:pPr>
              <w:pStyle w:val="FootnoteText"/>
              <w:spacing w:after="120"/>
              <w:jc w:val="both"/>
              <w:rPr>
                <w:rFonts w:ascii="Times New Roman" w:hAnsi="Times New Roman"/>
                <w:i/>
                <w:sz w:val="24"/>
                <w:szCs w:val="24"/>
              </w:rPr>
            </w:pPr>
            <w:r w:rsidRPr="00F91A10">
              <w:rPr>
                <w:rFonts w:ascii="Times New Roman" w:hAnsi="Times New Roman"/>
                <w:sz w:val="24"/>
                <w:szCs w:val="24"/>
              </w:rPr>
              <w:lastRenderedPageBreak/>
              <w:t xml:space="preserve">- </w:t>
            </w:r>
            <w:r w:rsidRPr="00F91A10">
              <w:rPr>
                <w:rFonts w:ascii="Times New Roman" w:hAnsi="Times New Roman"/>
                <w:i/>
                <w:sz w:val="24"/>
                <w:szCs w:val="24"/>
              </w:rPr>
              <w:t>Съгласно Закона за гражданското въздухоплаване:</w:t>
            </w:r>
          </w:p>
          <w:p w14:paraId="5B9C6DE9" w14:textId="77777777" w:rsidR="00F24FB4" w:rsidRPr="00F91A10" w:rsidRDefault="00F24FB4" w:rsidP="00F24FB4">
            <w:pPr>
              <w:pStyle w:val="FootnoteText"/>
              <w:spacing w:after="120"/>
              <w:jc w:val="both"/>
              <w:rPr>
                <w:rFonts w:ascii="Times New Roman" w:hAnsi="Times New Roman"/>
                <w:sz w:val="24"/>
                <w:szCs w:val="24"/>
              </w:rPr>
            </w:pPr>
            <w:r w:rsidRPr="00F91A10">
              <w:rPr>
                <w:rFonts w:ascii="Times New Roman" w:hAnsi="Times New Roman"/>
                <w:sz w:val="24"/>
                <w:szCs w:val="24"/>
              </w:rPr>
              <w:t>1. "Въздухоплавателно средство" е всяко средство,  което може да получи поддържане в атмосферата за сметка на реакцията на въздуха, освен реакцията на въздуха от земната повърхност.</w:t>
            </w:r>
          </w:p>
          <w:p w14:paraId="1B316FBB" w14:textId="77777777" w:rsidR="00F24FB4" w:rsidRPr="00F91A10" w:rsidRDefault="00F24FB4" w:rsidP="00F24FB4">
            <w:pPr>
              <w:pStyle w:val="FootnoteText"/>
              <w:spacing w:after="120"/>
              <w:jc w:val="both"/>
              <w:rPr>
                <w:rFonts w:ascii="Times New Roman" w:hAnsi="Times New Roman"/>
                <w:b/>
                <w:sz w:val="24"/>
                <w:szCs w:val="24"/>
              </w:rPr>
            </w:pPr>
            <w:r w:rsidRPr="00F91A10">
              <w:rPr>
                <w:rFonts w:ascii="Times New Roman" w:hAnsi="Times New Roman"/>
                <w:b/>
                <w:sz w:val="24"/>
                <w:szCs w:val="24"/>
              </w:rPr>
              <w:t xml:space="preserve">За целите на настоящата процедура не е допустимо придобиване на </w:t>
            </w:r>
            <w:proofErr w:type="spellStart"/>
            <w:r w:rsidRPr="00F91A10">
              <w:rPr>
                <w:rFonts w:ascii="Times New Roman" w:hAnsi="Times New Roman"/>
                <w:b/>
                <w:sz w:val="24"/>
                <w:szCs w:val="24"/>
              </w:rPr>
              <w:t>дронове</w:t>
            </w:r>
            <w:proofErr w:type="spellEnd"/>
            <w:r w:rsidRPr="00F91A10">
              <w:rPr>
                <w:rFonts w:ascii="Times New Roman" w:hAnsi="Times New Roman"/>
                <w:b/>
                <w:sz w:val="24"/>
                <w:szCs w:val="24"/>
              </w:rPr>
              <w:t>.</w:t>
            </w:r>
          </w:p>
          <w:p w14:paraId="52982044" w14:textId="77777777" w:rsidR="00F24FB4" w:rsidRPr="00F91A10" w:rsidRDefault="00F24FB4" w:rsidP="00F24FB4">
            <w:pPr>
              <w:pStyle w:val="FootnoteText"/>
              <w:spacing w:after="120"/>
              <w:jc w:val="both"/>
              <w:rPr>
                <w:rFonts w:ascii="Times New Roman" w:hAnsi="Times New Roman"/>
                <w:i/>
                <w:sz w:val="24"/>
                <w:szCs w:val="24"/>
              </w:rPr>
            </w:pPr>
            <w:r w:rsidRPr="00F91A10">
              <w:rPr>
                <w:rFonts w:ascii="Times New Roman" w:hAnsi="Times New Roman"/>
                <w:sz w:val="24"/>
                <w:szCs w:val="24"/>
              </w:rPr>
              <w:t xml:space="preserve"> - </w:t>
            </w:r>
            <w:r w:rsidRPr="00F91A10">
              <w:rPr>
                <w:rFonts w:ascii="Times New Roman" w:hAnsi="Times New Roman"/>
                <w:i/>
                <w:sz w:val="24"/>
                <w:szCs w:val="24"/>
              </w:rPr>
              <w:t>Съгласно Закона за железопътния транспорт:</w:t>
            </w:r>
          </w:p>
          <w:p w14:paraId="311AA78C" w14:textId="77777777" w:rsidR="00F24FB4" w:rsidRPr="00F91A10" w:rsidRDefault="00F24FB4" w:rsidP="00F24FB4">
            <w:pPr>
              <w:pStyle w:val="FootnoteText"/>
              <w:spacing w:after="120"/>
              <w:jc w:val="both"/>
              <w:rPr>
                <w:rFonts w:ascii="Times New Roman" w:hAnsi="Times New Roman"/>
                <w:sz w:val="24"/>
                <w:szCs w:val="24"/>
              </w:rPr>
            </w:pPr>
            <w:r w:rsidRPr="00F91A10">
              <w:rPr>
                <w:rFonts w:ascii="Times New Roman" w:hAnsi="Times New Roman"/>
                <w:sz w:val="24"/>
                <w:szCs w:val="24"/>
              </w:rPr>
              <w:t xml:space="preserve">1. „Влак” е подреден и скачен състав от вагони с един или повече локомотиви в работно състояние, снабден със сигнали и влакови документи. Локомотиви, </w:t>
            </w:r>
            <w:proofErr w:type="spellStart"/>
            <w:r w:rsidRPr="00F91A10">
              <w:rPr>
                <w:rFonts w:ascii="Times New Roman" w:hAnsi="Times New Roman"/>
                <w:sz w:val="24"/>
                <w:szCs w:val="24"/>
              </w:rPr>
              <w:t>мотрисни</w:t>
            </w:r>
            <w:proofErr w:type="spellEnd"/>
            <w:r w:rsidRPr="00F91A10">
              <w:rPr>
                <w:rFonts w:ascii="Times New Roman" w:hAnsi="Times New Roman"/>
                <w:sz w:val="24"/>
                <w:szCs w:val="24"/>
              </w:rPr>
              <w:t xml:space="preserve"> влакове, мотриси, моторни дрезини и други моторни возила, </w:t>
            </w:r>
            <w:proofErr w:type="spellStart"/>
            <w:r w:rsidRPr="00F91A10">
              <w:rPr>
                <w:rFonts w:ascii="Times New Roman" w:hAnsi="Times New Roman"/>
                <w:sz w:val="24"/>
                <w:szCs w:val="24"/>
              </w:rPr>
              <w:t>несваляеми</w:t>
            </w:r>
            <w:proofErr w:type="spellEnd"/>
            <w:r w:rsidRPr="00F91A10">
              <w:rPr>
                <w:rFonts w:ascii="Times New Roman" w:hAnsi="Times New Roman"/>
                <w:sz w:val="24"/>
                <w:szCs w:val="24"/>
              </w:rPr>
              <w:t xml:space="preserve"> от пътя, отправени на </w:t>
            </w:r>
            <w:proofErr w:type="spellStart"/>
            <w:r w:rsidRPr="00F91A10">
              <w:rPr>
                <w:rFonts w:ascii="Times New Roman" w:hAnsi="Times New Roman"/>
                <w:sz w:val="24"/>
                <w:szCs w:val="24"/>
              </w:rPr>
              <w:t>междугарие</w:t>
            </w:r>
            <w:proofErr w:type="spellEnd"/>
            <w:r w:rsidRPr="00F91A10">
              <w:rPr>
                <w:rFonts w:ascii="Times New Roman" w:hAnsi="Times New Roman"/>
                <w:sz w:val="24"/>
                <w:szCs w:val="24"/>
              </w:rPr>
              <w:t>, се смятат за влакове.</w:t>
            </w:r>
          </w:p>
          <w:p w14:paraId="669A6D57" w14:textId="77777777" w:rsidR="00F24FB4" w:rsidRPr="00F91A10" w:rsidRDefault="00F24FB4" w:rsidP="00F24FB4">
            <w:pPr>
              <w:pStyle w:val="FootnoteText"/>
              <w:spacing w:after="120"/>
              <w:jc w:val="both"/>
              <w:rPr>
                <w:rFonts w:ascii="Times New Roman" w:hAnsi="Times New Roman"/>
                <w:i/>
                <w:sz w:val="24"/>
                <w:szCs w:val="24"/>
              </w:rPr>
            </w:pPr>
            <w:r w:rsidRPr="00F91A10">
              <w:rPr>
                <w:rFonts w:ascii="Times New Roman" w:hAnsi="Times New Roman"/>
                <w:sz w:val="24"/>
                <w:szCs w:val="24"/>
              </w:rPr>
              <w:t xml:space="preserve"> </w:t>
            </w:r>
            <w:r w:rsidRPr="00F91A10">
              <w:rPr>
                <w:rFonts w:ascii="Times New Roman" w:hAnsi="Times New Roman"/>
                <w:i/>
                <w:sz w:val="24"/>
                <w:szCs w:val="24"/>
              </w:rPr>
              <w:t>- Съгласно Закона за морските пространства, вътрешните водни пътища и пристанищата на Република България:</w:t>
            </w:r>
          </w:p>
          <w:p w14:paraId="4D618762" w14:textId="77777777" w:rsidR="00F24FB4" w:rsidRPr="00F91A10" w:rsidRDefault="00F24FB4" w:rsidP="00F24FB4">
            <w:pPr>
              <w:pStyle w:val="FootnoteText"/>
              <w:spacing w:after="120"/>
              <w:jc w:val="both"/>
              <w:rPr>
                <w:rFonts w:ascii="Times New Roman" w:hAnsi="Times New Roman"/>
                <w:sz w:val="24"/>
                <w:szCs w:val="24"/>
              </w:rPr>
            </w:pPr>
            <w:r w:rsidRPr="00F91A10">
              <w:rPr>
                <w:rFonts w:ascii="Times New Roman" w:hAnsi="Times New Roman"/>
                <w:sz w:val="24"/>
                <w:szCs w:val="24"/>
              </w:rPr>
              <w:t>1. „Яхта”  е кораб, използван за туризъм, спорт, спортен риболов или развлечение.</w:t>
            </w:r>
          </w:p>
          <w:p w14:paraId="3193A035" w14:textId="77777777" w:rsidR="00F24FB4" w:rsidRPr="00F91A10" w:rsidRDefault="00F24FB4" w:rsidP="00F24FB4">
            <w:pPr>
              <w:pStyle w:val="FootnoteText"/>
              <w:spacing w:before="60" w:after="60"/>
              <w:jc w:val="both"/>
              <w:rPr>
                <w:rFonts w:ascii="Times New Roman" w:hAnsi="Times New Roman" w:cs="Times New Roman"/>
                <w:sz w:val="24"/>
                <w:szCs w:val="24"/>
              </w:rPr>
            </w:pPr>
            <w:r w:rsidRPr="00F91A10">
              <w:rPr>
                <w:rFonts w:ascii="Times New Roman" w:hAnsi="Times New Roman"/>
                <w:sz w:val="24"/>
                <w:szCs w:val="24"/>
              </w:rPr>
              <w:t>2. „Кораб”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tc>
      </w:tr>
      <w:tr w:rsidR="00F24FB4" w:rsidRPr="00F91A10" w14:paraId="69CE0AE2" w14:textId="77777777" w:rsidTr="001D201C">
        <w:tc>
          <w:tcPr>
            <w:tcW w:w="2405" w:type="dxa"/>
            <w:shd w:val="clear" w:color="auto" w:fill="E6E6E6"/>
          </w:tcPr>
          <w:p w14:paraId="4DC9776E" w14:textId="77777777" w:rsidR="00F24FB4" w:rsidRPr="00F91A10" w:rsidRDefault="00F24FB4" w:rsidP="00F24FB4">
            <w:pPr>
              <w:spacing w:before="100" w:beforeAutospacing="1" w:after="100" w:afterAutospacing="1" w:line="240" w:lineRule="auto"/>
              <w:rPr>
                <w:rFonts w:ascii="Times New Roman" w:hAnsi="Times New Roman" w:cs="Times New Roman"/>
                <w:sz w:val="24"/>
                <w:szCs w:val="24"/>
              </w:rPr>
            </w:pPr>
            <w:r w:rsidRPr="00F91A10">
              <w:rPr>
                <w:rFonts w:ascii="Times New Roman" w:eastAsia="Times New Roman" w:hAnsi="Times New Roman" w:cs="Times New Roman"/>
                <w:b/>
                <w:snapToGrid w:val="0"/>
                <w:sz w:val="24"/>
                <w:szCs w:val="24"/>
              </w:rPr>
              <w:lastRenderedPageBreak/>
              <w:t>Търговия със селскостопански продукт</w:t>
            </w:r>
          </w:p>
        </w:tc>
        <w:tc>
          <w:tcPr>
            <w:tcW w:w="7201" w:type="dxa"/>
            <w:shd w:val="clear" w:color="auto" w:fill="F3F3F3"/>
          </w:tcPr>
          <w:p w14:paraId="44F799A4" w14:textId="77777777" w:rsidR="00F24FB4" w:rsidRPr="00F91A10" w:rsidRDefault="00F24FB4" w:rsidP="00F24FB4">
            <w:pPr>
              <w:spacing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cs="Times New Roman"/>
                <w:snapToGrid w:val="0"/>
                <w:sz w:val="24"/>
                <w:szCs w:val="24"/>
              </w:rPr>
              <w:t>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осъществява в отделни помещения, предвидени за тази цел.</w:t>
            </w:r>
          </w:p>
        </w:tc>
      </w:tr>
      <w:tr w:rsidR="00F24FB4" w:rsidRPr="00F91A10" w14:paraId="3CA80626" w14:textId="77777777" w:rsidTr="001D201C">
        <w:tc>
          <w:tcPr>
            <w:tcW w:w="2405" w:type="dxa"/>
            <w:shd w:val="clear" w:color="auto" w:fill="E6E6E6"/>
          </w:tcPr>
          <w:p w14:paraId="208465EE"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t>Условия при придобиване на дълготрайния актив чрез лизинг по чл. 23 на ПМС № 86 от 01 юни 2023 г.</w:t>
            </w:r>
          </w:p>
        </w:tc>
        <w:tc>
          <w:tcPr>
            <w:tcW w:w="7201" w:type="dxa"/>
            <w:shd w:val="clear" w:color="auto" w:fill="F3F3F3"/>
          </w:tcPr>
          <w:p w14:paraId="12472F89"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Чл. 23 на Постановление № 86 от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гласи: „При придобиване на дълготрайни материални активи чрез покупка или лизинг те следва да продължат да се използват за същите цели като тези на проекта след деня на закупуване и в продължение най-малко на:</w:t>
            </w:r>
          </w:p>
          <w:p w14:paraId="4FF7469A"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t>1. 3 години или повече – за информационно и телекомуникационно оборудване;</w:t>
            </w:r>
          </w:p>
          <w:p w14:paraId="5C5C65C0" w14:textId="77777777" w:rsidR="00F24FB4" w:rsidRPr="00F91A10" w:rsidRDefault="00F24FB4" w:rsidP="00F24FB4">
            <w:pPr>
              <w:spacing w:after="120" w:line="240" w:lineRule="auto"/>
              <w:jc w:val="both"/>
              <w:rPr>
                <w:rFonts w:ascii="Times New Roman" w:eastAsia="Times New Roman" w:hAnsi="Times New Roman"/>
                <w:snapToGrid w:val="0"/>
                <w:sz w:val="24"/>
                <w:szCs w:val="24"/>
              </w:rPr>
            </w:pPr>
            <w:r w:rsidRPr="00F91A10">
              <w:rPr>
                <w:rFonts w:ascii="Times New Roman" w:eastAsia="Times New Roman" w:hAnsi="Times New Roman"/>
                <w:snapToGrid w:val="0"/>
                <w:sz w:val="24"/>
                <w:szCs w:val="24"/>
              </w:rPr>
              <w:lastRenderedPageBreak/>
              <w:t>2. 5 години или повече – за други видове оборудване, като оперативно оборудване и транспортни средства;</w:t>
            </w:r>
          </w:p>
          <w:p w14:paraId="5FB84E7D" w14:textId="77777777" w:rsidR="00F24FB4" w:rsidRPr="00F91A10" w:rsidRDefault="00F24FB4" w:rsidP="00F24FB4">
            <w:pPr>
              <w:spacing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3. 10 години – за сгради, плавателни съдове и въздухоплавателни средства.“</w:t>
            </w:r>
          </w:p>
        </w:tc>
      </w:tr>
      <w:tr w:rsidR="00F24FB4" w:rsidRPr="00F91A10" w14:paraId="3B034CA5" w14:textId="77777777" w:rsidTr="001D201C">
        <w:tc>
          <w:tcPr>
            <w:tcW w:w="2405" w:type="dxa"/>
            <w:shd w:val="clear" w:color="auto" w:fill="E6E6E6"/>
          </w:tcPr>
          <w:p w14:paraId="1500B97F" w14:textId="77777777" w:rsidR="00F24FB4" w:rsidRPr="00F91A10" w:rsidRDefault="00F24FB4" w:rsidP="00F24FB4">
            <w:pPr>
              <w:spacing w:before="100" w:beforeAutospacing="1" w:after="100" w:afterAutospacing="1" w:line="240" w:lineRule="auto"/>
              <w:rPr>
                <w:rFonts w:ascii="Times New Roman" w:eastAsia="Times New Roman" w:hAnsi="Times New Roman" w:cs="Times New Roman"/>
                <w:b/>
                <w:snapToGrid w:val="0"/>
                <w:sz w:val="24"/>
                <w:szCs w:val="24"/>
              </w:rPr>
            </w:pPr>
            <w:r w:rsidRPr="00F91A10">
              <w:rPr>
                <w:rFonts w:ascii="Times New Roman" w:eastAsia="Times New Roman" w:hAnsi="Times New Roman"/>
                <w:b/>
                <w:snapToGrid w:val="0"/>
                <w:sz w:val="24"/>
                <w:szCs w:val="24"/>
              </w:rPr>
              <w:lastRenderedPageBreak/>
              <w:t>Харта на основните права на Европейския съюз</w:t>
            </w:r>
          </w:p>
        </w:tc>
        <w:tc>
          <w:tcPr>
            <w:tcW w:w="7201" w:type="dxa"/>
            <w:shd w:val="clear" w:color="auto" w:fill="F3F3F3"/>
          </w:tcPr>
          <w:p w14:paraId="57D900DF" w14:textId="77777777" w:rsidR="00F24FB4" w:rsidRPr="00F91A10" w:rsidRDefault="00F24FB4" w:rsidP="00F24FB4">
            <w:pPr>
              <w:spacing w:line="240" w:lineRule="auto"/>
              <w:jc w:val="both"/>
              <w:rPr>
                <w:rFonts w:ascii="Times New Roman" w:eastAsia="Times New Roman" w:hAnsi="Times New Roman" w:cs="Times New Roman"/>
                <w:snapToGrid w:val="0"/>
                <w:sz w:val="24"/>
                <w:szCs w:val="24"/>
              </w:rPr>
            </w:pPr>
            <w:r w:rsidRPr="00F91A10">
              <w:rPr>
                <w:rFonts w:ascii="Times New Roman" w:eastAsia="Times New Roman" w:hAnsi="Times New Roman"/>
                <w:snapToGrid w:val="0"/>
                <w:sz w:val="24"/>
                <w:szCs w:val="24"/>
              </w:rPr>
              <w:t>Прилагането и изпълнението на Хартата на основните права на Европейския съюз</w:t>
            </w:r>
            <w:r w:rsidRPr="00F91A10">
              <w:rPr>
                <w:rStyle w:val="FootnoteReference"/>
                <w:rFonts w:ascii="Times New Roman" w:eastAsia="Times New Roman" w:hAnsi="Times New Roman"/>
                <w:snapToGrid w:val="0"/>
                <w:sz w:val="24"/>
                <w:szCs w:val="24"/>
              </w:rPr>
              <w:footnoteReference w:id="3"/>
            </w:r>
            <w:r w:rsidRPr="00F91A10">
              <w:rPr>
                <w:rFonts w:ascii="Times New Roman" w:eastAsia="Times New Roman" w:hAnsi="Times New Roman"/>
                <w:snapToGrid w:val="0"/>
                <w:sz w:val="24"/>
                <w:szCs w:val="24"/>
              </w:rPr>
              <w:t xml:space="preserve"> (ЕС) цели осигуряване на зачитането и защитата на всички основни права на ЕС, сред които са: защита на личните данни, </w:t>
            </w:r>
            <w:proofErr w:type="spellStart"/>
            <w:r w:rsidRPr="00F91A10">
              <w:rPr>
                <w:rFonts w:ascii="Times New Roman" w:eastAsia="Times New Roman" w:hAnsi="Times New Roman"/>
                <w:snapToGrid w:val="0"/>
                <w:sz w:val="24"/>
                <w:szCs w:val="24"/>
              </w:rPr>
              <w:t>недискриминация</w:t>
            </w:r>
            <w:proofErr w:type="spellEnd"/>
            <w:r w:rsidRPr="00F91A10">
              <w:rPr>
                <w:rFonts w:ascii="Times New Roman" w:eastAsia="Times New Roman" w:hAnsi="Times New Roman"/>
                <w:snapToGrid w:val="0"/>
                <w:sz w:val="24"/>
                <w:szCs w:val="24"/>
              </w:rPr>
              <w:t>, равенство между жените и мъжете, интеграция на хората с увреждания, равенство пред закона,  опазване на околната среда, право на ефективни правни средства за защита и на справедлив съдебен процес, справедливи условия на труд, правата на детето,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 екстрадиране, зачитане на личния и семейния живот, право на убежище.</w:t>
            </w:r>
          </w:p>
        </w:tc>
      </w:tr>
    </w:tbl>
    <w:p w14:paraId="027B92AC" w14:textId="77777777" w:rsidR="002D0B4D" w:rsidRPr="00F91A10" w:rsidRDefault="007A1A81">
      <w:pPr>
        <w:rPr>
          <w:rFonts w:ascii="Times New Roman" w:hAnsi="Times New Roman" w:cs="Times New Roman"/>
        </w:rPr>
      </w:pPr>
      <w:r w:rsidRPr="00F91A10">
        <w:rPr>
          <w:rFonts w:ascii="Times New Roman" w:hAnsi="Times New Roman" w:cs="Times New Roman"/>
        </w:rPr>
        <w:br w:type="textWrapping" w:clear="all"/>
      </w:r>
    </w:p>
    <w:p w14:paraId="67325119" w14:textId="77777777" w:rsidR="000C2624" w:rsidRPr="00F91A10" w:rsidRDefault="000C2624" w:rsidP="003B005E">
      <w:pPr>
        <w:rPr>
          <w:rFonts w:ascii="Times New Roman" w:hAnsi="Times New Roman"/>
        </w:rPr>
      </w:pPr>
    </w:p>
    <w:sectPr w:rsidR="000C2624" w:rsidRPr="00F91A10" w:rsidSect="00F24FB4">
      <w:headerReference w:type="default" r:id="rId9"/>
      <w:footerReference w:type="default" r:id="rId10"/>
      <w:pgSz w:w="11906" w:h="16838"/>
      <w:pgMar w:top="1417" w:right="1417" w:bottom="1276" w:left="1417" w:header="708" w:footer="28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BD3E7" w14:textId="77777777" w:rsidR="00E12EFD" w:rsidRDefault="00E12EFD" w:rsidP="00364204">
      <w:pPr>
        <w:spacing w:after="0" w:line="240" w:lineRule="auto"/>
      </w:pPr>
      <w:r>
        <w:separator/>
      </w:r>
    </w:p>
  </w:endnote>
  <w:endnote w:type="continuationSeparator" w:id="0">
    <w:p w14:paraId="02577F7E" w14:textId="77777777" w:rsidR="00E12EFD" w:rsidRDefault="00E12EFD" w:rsidP="00364204">
      <w:pPr>
        <w:spacing w:after="0" w:line="240" w:lineRule="auto"/>
      </w:pPr>
      <w:r>
        <w:continuationSeparator/>
      </w:r>
    </w:p>
  </w:endnote>
  <w:endnote w:type="continuationNotice" w:id="1">
    <w:p w14:paraId="547F93CE" w14:textId="77777777" w:rsidR="00E12EFD" w:rsidRDefault="00E12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406275"/>
      <w:docPartObj>
        <w:docPartGallery w:val="Page Numbers (Bottom of Page)"/>
        <w:docPartUnique/>
      </w:docPartObj>
    </w:sdtPr>
    <w:sdtEndPr>
      <w:rPr>
        <w:noProof/>
      </w:rPr>
    </w:sdtEndPr>
    <w:sdtContent>
      <w:p w14:paraId="68DE647B" w14:textId="582ACEB1" w:rsidR="00054EAC" w:rsidRDefault="00054EAC">
        <w:pPr>
          <w:pStyle w:val="Footer"/>
          <w:jc w:val="center"/>
        </w:pPr>
        <w:r>
          <w:fldChar w:fldCharType="begin"/>
        </w:r>
        <w:r>
          <w:instrText xml:space="preserve"> PAGE   \* MERGEFORMAT </w:instrText>
        </w:r>
        <w:r>
          <w:fldChar w:fldCharType="separate"/>
        </w:r>
        <w:r w:rsidR="00FA4408">
          <w:rPr>
            <w:noProof/>
          </w:rPr>
          <w:t>12</w:t>
        </w:r>
        <w:r>
          <w:rPr>
            <w:noProof/>
          </w:rPr>
          <w:fldChar w:fldCharType="end"/>
        </w:r>
      </w:p>
    </w:sdtContent>
  </w:sdt>
  <w:p w14:paraId="0ECA5A37" w14:textId="7BDD038E" w:rsidR="008F4E02" w:rsidRDefault="008F4E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6E749" w14:textId="77777777" w:rsidR="00E12EFD" w:rsidRDefault="00E12EFD" w:rsidP="00364204">
      <w:pPr>
        <w:spacing w:after="0" w:line="240" w:lineRule="auto"/>
      </w:pPr>
      <w:r>
        <w:separator/>
      </w:r>
    </w:p>
  </w:footnote>
  <w:footnote w:type="continuationSeparator" w:id="0">
    <w:p w14:paraId="6C522330" w14:textId="77777777" w:rsidR="00E12EFD" w:rsidRDefault="00E12EFD" w:rsidP="00364204">
      <w:pPr>
        <w:spacing w:after="0" w:line="240" w:lineRule="auto"/>
      </w:pPr>
      <w:r>
        <w:continuationSeparator/>
      </w:r>
    </w:p>
  </w:footnote>
  <w:footnote w:type="continuationNotice" w:id="1">
    <w:p w14:paraId="3C7D7FB1" w14:textId="77777777" w:rsidR="00E12EFD" w:rsidRDefault="00E12EFD">
      <w:pPr>
        <w:spacing w:after="0" w:line="240" w:lineRule="auto"/>
      </w:pPr>
    </w:p>
  </w:footnote>
  <w:footnote w:id="2">
    <w:p w14:paraId="7F9706C4" w14:textId="77777777" w:rsidR="00CF60CE" w:rsidRPr="003D0798" w:rsidRDefault="00CF60CE" w:rsidP="003D0798">
      <w:pPr>
        <w:pStyle w:val="FootnoteText"/>
        <w:jc w:val="both"/>
        <w:rPr>
          <w:rFonts w:ascii="Times New Roman" w:hAnsi="Times New Roman"/>
        </w:rPr>
      </w:pPr>
      <w:r w:rsidRPr="003D0798">
        <w:rPr>
          <w:rStyle w:val="FootnoteReference"/>
          <w:rFonts w:ascii="Times New Roman" w:hAnsi="Times New Roman"/>
        </w:rPr>
        <w:footnoteRef/>
      </w:r>
      <w:r w:rsidRPr="003D0798">
        <w:rPr>
          <w:rFonts w:ascii="Times New Roman" w:hAnsi="Times New Roman"/>
        </w:rPr>
        <w:t xml:space="preserve"> Пълният текст на Конвенцията може да се намери на </w:t>
      </w:r>
      <w:r>
        <w:rPr>
          <w:rFonts w:ascii="Times New Roman" w:hAnsi="Times New Roman"/>
        </w:rPr>
        <w:t xml:space="preserve">следния </w:t>
      </w:r>
      <w:r w:rsidRPr="003D0798">
        <w:rPr>
          <w:rFonts w:ascii="Times New Roman" w:hAnsi="Times New Roman"/>
        </w:rPr>
        <w:t xml:space="preserve">адрес: </w:t>
      </w:r>
    </w:p>
    <w:p w14:paraId="5FEB7F78" w14:textId="77777777" w:rsidR="00CF60CE" w:rsidRPr="003D0798" w:rsidRDefault="00FA4408" w:rsidP="003D0798">
      <w:pPr>
        <w:pStyle w:val="FootnoteText"/>
        <w:rPr>
          <w:rFonts w:ascii="Times New Roman" w:hAnsi="Times New Roman"/>
        </w:rPr>
      </w:pPr>
      <w:hyperlink r:id="rId1" w:anchor="1" w:history="1">
        <w:r w:rsidR="00CF60CE" w:rsidRPr="003D0798">
          <w:rPr>
            <w:rStyle w:val="Hyperlink"/>
            <w:rFonts w:ascii="Times New Roman" w:hAnsi="Times New Roman"/>
          </w:rPr>
          <w:t>https://www.ohchr.org/EN/HRBodies/CRPD/Pages/ConventionRightsPersonsWithDisabilities.aspx#1</w:t>
        </w:r>
      </w:hyperlink>
      <w:r w:rsidR="00CF60CE" w:rsidRPr="003D0798">
        <w:rPr>
          <w:rFonts w:ascii="Times New Roman" w:hAnsi="Times New Roman"/>
        </w:rPr>
        <w:t xml:space="preserve"> </w:t>
      </w:r>
    </w:p>
  </w:footnote>
  <w:footnote w:id="3">
    <w:p w14:paraId="08A0236C" w14:textId="77777777" w:rsidR="00F24FB4" w:rsidRPr="00013823" w:rsidRDefault="00F24FB4" w:rsidP="00013823">
      <w:pPr>
        <w:pStyle w:val="FootnoteText"/>
        <w:jc w:val="both"/>
        <w:rPr>
          <w:rFonts w:ascii="Times New Roman" w:hAnsi="Times New Roman"/>
        </w:rPr>
      </w:pPr>
      <w:r w:rsidRPr="00013823">
        <w:rPr>
          <w:rStyle w:val="FootnoteReference"/>
          <w:rFonts w:ascii="Times New Roman" w:hAnsi="Times New Roman"/>
        </w:rPr>
        <w:footnoteRef/>
      </w:r>
      <w:r w:rsidRPr="00013823">
        <w:rPr>
          <w:rFonts w:ascii="Times New Roman" w:hAnsi="Times New Roman"/>
        </w:rPr>
        <w:t xml:space="preserve"> Пълният текст на Хартата може да се намери на следния адрес: </w:t>
      </w:r>
      <w:hyperlink r:id="rId2" w:history="1">
        <w:r w:rsidRPr="00013823">
          <w:rPr>
            <w:rStyle w:val="Hyperlink"/>
            <w:rFonts w:ascii="Times New Roman" w:hAnsi="Times New Roman"/>
          </w:rPr>
          <w:t>https://eur-lex.europa.eu/legal-content/BG/TXT/?uri=celex%3A12012P%2FTXT</w:t>
        </w:r>
      </w:hyperlink>
      <w:r w:rsidRPr="00013823">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224"/>
      <w:gridCol w:w="2424"/>
      <w:gridCol w:w="2424"/>
    </w:tblGrid>
    <w:tr w:rsidR="005D5C12" w:rsidRPr="00AF1339" w14:paraId="009708A5" w14:textId="77777777" w:rsidTr="00F24FB4">
      <w:tc>
        <w:tcPr>
          <w:tcW w:w="4722" w:type="dxa"/>
          <w:shd w:val="clear" w:color="auto" w:fill="auto"/>
        </w:tcPr>
        <w:p w14:paraId="51AD7E39" w14:textId="68C966BF" w:rsidR="005D5C12" w:rsidRPr="00F24FB4" w:rsidRDefault="007E211A" w:rsidP="00F24FB4">
          <w:pPr>
            <w:pStyle w:val="Header"/>
            <w:rPr>
              <w:rFonts w:ascii="Times New Roman" w:hAnsi="Times New Roman"/>
            </w:rPr>
          </w:pPr>
          <w:r w:rsidRPr="00103B9D">
            <w:rPr>
              <w:i/>
              <w:noProof/>
              <w:lang w:val="en-US"/>
            </w:rPr>
            <w:drawing>
              <wp:inline distT="0" distB="0" distL="0" distR="0" wp14:anchorId="1B17446D" wp14:editId="66A8D1FA">
                <wp:extent cx="2226310" cy="51689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07D02D66" w14:textId="76C28D03" w:rsidR="005D5C12" w:rsidRPr="00F24FB4" w:rsidRDefault="005D5C12" w:rsidP="00F24FB4">
          <w:pPr>
            <w:pStyle w:val="Header"/>
            <w:jc w:val="right"/>
            <w:rPr>
              <w:rFonts w:ascii="Times New Roman" w:hAnsi="Times New Roman"/>
            </w:rPr>
          </w:pPr>
        </w:p>
      </w:tc>
      <w:tc>
        <w:tcPr>
          <w:tcW w:w="4633" w:type="dxa"/>
          <w:shd w:val="clear" w:color="auto" w:fill="auto"/>
        </w:tcPr>
        <w:p w14:paraId="586A499E" w14:textId="77777777" w:rsidR="005D5C12" w:rsidRPr="00AF1339" w:rsidRDefault="005D5C12" w:rsidP="00F14642">
          <w:pPr>
            <w:spacing w:after="160" w:line="259" w:lineRule="auto"/>
            <w:jc w:val="center"/>
            <w:rPr>
              <w:rFonts w:ascii="Calibri" w:eastAsia="Calibri" w:hAnsi="Calibri" w:cs="Times New Roman"/>
            </w:rPr>
          </w:pPr>
        </w:p>
      </w:tc>
    </w:tr>
  </w:tbl>
  <w:p w14:paraId="22D26F4A" w14:textId="0EBDD04C" w:rsidR="007E211A" w:rsidRPr="00B90A42" w:rsidRDefault="007E211A" w:rsidP="007E211A">
    <w:pPr>
      <w:pStyle w:val="Header"/>
    </w:pPr>
    <w:r>
      <w:rPr>
        <w:noProof/>
        <w:lang w:val="en-US"/>
      </w:rPr>
      <w:drawing>
        <wp:anchor distT="0" distB="0" distL="114300" distR="114300" simplePos="0" relativeHeight="251657216" behindDoc="0" locked="0" layoutInCell="1" allowOverlap="1" wp14:anchorId="0154082A" wp14:editId="0FC9DEA5">
          <wp:simplePos x="0" y="0"/>
          <wp:positionH relativeFrom="margin">
            <wp:align>right</wp:align>
          </wp:positionH>
          <wp:positionV relativeFrom="paragraph">
            <wp:posOffset>-567055</wp:posOffset>
          </wp:positionV>
          <wp:extent cx="2307590" cy="651510"/>
          <wp:effectExtent l="0" t="0" r="0" b="0"/>
          <wp:wrapNone/>
          <wp:docPr id="20" name="Picture 20"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17B3C3" w14:textId="77777777" w:rsidR="005D5C12" w:rsidRDefault="005D5C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2AB8221E"/>
    <w:multiLevelType w:val="hybridMultilevel"/>
    <w:tmpl w:val="F5F67F34"/>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C6626AA"/>
    <w:multiLevelType w:val="hybridMultilevel"/>
    <w:tmpl w:val="9F00509A"/>
    <w:lvl w:ilvl="0" w:tplc="05B430AC">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B"/>
    <w:rsid w:val="00000642"/>
    <w:rsid w:val="00000E49"/>
    <w:rsid w:val="000010DD"/>
    <w:rsid w:val="0000173C"/>
    <w:rsid w:val="00002456"/>
    <w:rsid w:val="00002D0D"/>
    <w:rsid w:val="0000386A"/>
    <w:rsid w:val="00003B43"/>
    <w:rsid w:val="00012502"/>
    <w:rsid w:val="00013B0F"/>
    <w:rsid w:val="0001482C"/>
    <w:rsid w:val="00015702"/>
    <w:rsid w:val="00016837"/>
    <w:rsid w:val="000169CC"/>
    <w:rsid w:val="00016E0B"/>
    <w:rsid w:val="00020868"/>
    <w:rsid w:val="00020E0B"/>
    <w:rsid w:val="00021DCF"/>
    <w:rsid w:val="00023FFA"/>
    <w:rsid w:val="000315B5"/>
    <w:rsid w:val="00034209"/>
    <w:rsid w:val="0003699C"/>
    <w:rsid w:val="0004005C"/>
    <w:rsid w:val="0004195E"/>
    <w:rsid w:val="00044D0F"/>
    <w:rsid w:val="00045584"/>
    <w:rsid w:val="000522DF"/>
    <w:rsid w:val="00054EAC"/>
    <w:rsid w:val="000568E4"/>
    <w:rsid w:val="00062143"/>
    <w:rsid w:val="000636EF"/>
    <w:rsid w:val="00067C3A"/>
    <w:rsid w:val="00070B42"/>
    <w:rsid w:val="00070E3F"/>
    <w:rsid w:val="00071FD5"/>
    <w:rsid w:val="00075C6A"/>
    <w:rsid w:val="00082A66"/>
    <w:rsid w:val="00085F51"/>
    <w:rsid w:val="000972C6"/>
    <w:rsid w:val="000A0132"/>
    <w:rsid w:val="000A1114"/>
    <w:rsid w:val="000A3471"/>
    <w:rsid w:val="000A44E5"/>
    <w:rsid w:val="000A4E76"/>
    <w:rsid w:val="000B38AD"/>
    <w:rsid w:val="000B4A2D"/>
    <w:rsid w:val="000B6360"/>
    <w:rsid w:val="000C2624"/>
    <w:rsid w:val="000C2A46"/>
    <w:rsid w:val="000C6413"/>
    <w:rsid w:val="000C731A"/>
    <w:rsid w:val="000C7701"/>
    <w:rsid w:val="000D040C"/>
    <w:rsid w:val="000D418B"/>
    <w:rsid w:val="000D7F0D"/>
    <w:rsid w:val="000E38C4"/>
    <w:rsid w:val="000E43C4"/>
    <w:rsid w:val="000E4FFF"/>
    <w:rsid w:val="000E58F1"/>
    <w:rsid w:val="000F47BE"/>
    <w:rsid w:val="000F48C5"/>
    <w:rsid w:val="000F520A"/>
    <w:rsid w:val="000F5A47"/>
    <w:rsid w:val="00105220"/>
    <w:rsid w:val="0011077A"/>
    <w:rsid w:val="001123F2"/>
    <w:rsid w:val="00112DD2"/>
    <w:rsid w:val="001172F3"/>
    <w:rsid w:val="00121FFF"/>
    <w:rsid w:val="00122E31"/>
    <w:rsid w:val="0012614C"/>
    <w:rsid w:val="00132EA0"/>
    <w:rsid w:val="00133436"/>
    <w:rsid w:val="00134A4B"/>
    <w:rsid w:val="00135888"/>
    <w:rsid w:val="00135C9D"/>
    <w:rsid w:val="001375DA"/>
    <w:rsid w:val="0014131C"/>
    <w:rsid w:val="00141474"/>
    <w:rsid w:val="00146219"/>
    <w:rsid w:val="00146A12"/>
    <w:rsid w:val="001472E2"/>
    <w:rsid w:val="00147A80"/>
    <w:rsid w:val="001503F3"/>
    <w:rsid w:val="001505AE"/>
    <w:rsid w:val="0015065C"/>
    <w:rsid w:val="00151004"/>
    <w:rsid w:val="0015185C"/>
    <w:rsid w:val="00151B68"/>
    <w:rsid w:val="001553A6"/>
    <w:rsid w:val="001566B9"/>
    <w:rsid w:val="00156B42"/>
    <w:rsid w:val="00160AEC"/>
    <w:rsid w:val="0016138B"/>
    <w:rsid w:val="00163752"/>
    <w:rsid w:val="001637DA"/>
    <w:rsid w:val="00166B6A"/>
    <w:rsid w:val="001675DC"/>
    <w:rsid w:val="00170FDB"/>
    <w:rsid w:val="00176AD2"/>
    <w:rsid w:val="00177A75"/>
    <w:rsid w:val="00177AF4"/>
    <w:rsid w:val="001814C4"/>
    <w:rsid w:val="001826B1"/>
    <w:rsid w:val="00184AF9"/>
    <w:rsid w:val="00190190"/>
    <w:rsid w:val="0019069B"/>
    <w:rsid w:val="00194C58"/>
    <w:rsid w:val="00196D20"/>
    <w:rsid w:val="001A4EAB"/>
    <w:rsid w:val="001A6C43"/>
    <w:rsid w:val="001B133A"/>
    <w:rsid w:val="001B13CE"/>
    <w:rsid w:val="001B21F3"/>
    <w:rsid w:val="001B3181"/>
    <w:rsid w:val="001B57E3"/>
    <w:rsid w:val="001B61A7"/>
    <w:rsid w:val="001B6CC2"/>
    <w:rsid w:val="001C2977"/>
    <w:rsid w:val="001C2D21"/>
    <w:rsid w:val="001C5F9E"/>
    <w:rsid w:val="001D201C"/>
    <w:rsid w:val="001D40C6"/>
    <w:rsid w:val="001D505E"/>
    <w:rsid w:val="001D6D99"/>
    <w:rsid w:val="001E1871"/>
    <w:rsid w:val="001E2927"/>
    <w:rsid w:val="001F0E0A"/>
    <w:rsid w:val="001F54E6"/>
    <w:rsid w:val="001F61B8"/>
    <w:rsid w:val="00203940"/>
    <w:rsid w:val="002068A7"/>
    <w:rsid w:val="00207A2E"/>
    <w:rsid w:val="002101D1"/>
    <w:rsid w:val="00210837"/>
    <w:rsid w:val="0021679D"/>
    <w:rsid w:val="0021691B"/>
    <w:rsid w:val="00226AD4"/>
    <w:rsid w:val="00232A39"/>
    <w:rsid w:val="00235A35"/>
    <w:rsid w:val="002407B4"/>
    <w:rsid w:val="0024350C"/>
    <w:rsid w:val="0024419F"/>
    <w:rsid w:val="00244EF0"/>
    <w:rsid w:val="00255E88"/>
    <w:rsid w:val="00257A2C"/>
    <w:rsid w:val="00262C14"/>
    <w:rsid w:val="002660A1"/>
    <w:rsid w:val="00270C35"/>
    <w:rsid w:val="00270FA9"/>
    <w:rsid w:val="00275A2F"/>
    <w:rsid w:val="002779FF"/>
    <w:rsid w:val="0028583C"/>
    <w:rsid w:val="002938F6"/>
    <w:rsid w:val="00294A6E"/>
    <w:rsid w:val="002A0B0D"/>
    <w:rsid w:val="002A3CEF"/>
    <w:rsid w:val="002A4747"/>
    <w:rsid w:val="002A512B"/>
    <w:rsid w:val="002A570D"/>
    <w:rsid w:val="002A6026"/>
    <w:rsid w:val="002A6221"/>
    <w:rsid w:val="002B03EC"/>
    <w:rsid w:val="002B0905"/>
    <w:rsid w:val="002B20F2"/>
    <w:rsid w:val="002B3048"/>
    <w:rsid w:val="002B31B0"/>
    <w:rsid w:val="002B3E57"/>
    <w:rsid w:val="002C72C6"/>
    <w:rsid w:val="002D0B4D"/>
    <w:rsid w:val="002D20A8"/>
    <w:rsid w:val="002D39FC"/>
    <w:rsid w:val="002D65D2"/>
    <w:rsid w:val="002E23A3"/>
    <w:rsid w:val="002E6F1D"/>
    <w:rsid w:val="002F31DF"/>
    <w:rsid w:val="002F3AF3"/>
    <w:rsid w:val="002F59B2"/>
    <w:rsid w:val="00301649"/>
    <w:rsid w:val="0030180E"/>
    <w:rsid w:val="00305BE5"/>
    <w:rsid w:val="00306628"/>
    <w:rsid w:val="00311B06"/>
    <w:rsid w:val="00311D57"/>
    <w:rsid w:val="00315E8A"/>
    <w:rsid w:val="0031775D"/>
    <w:rsid w:val="003204C2"/>
    <w:rsid w:val="003206A1"/>
    <w:rsid w:val="00322E2E"/>
    <w:rsid w:val="003234D8"/>
    <w:rsid w:val="00323B4A"/>
    <w:rsid w:val="00323E63"/>
    <w:rsid w:val="0032781F"/>
    <w:rsid w:val="0033286A"/>
    <w:rsid w:val="00333512"/>
    <w:rsid w:val="003339E9"/>
    <w:rsid w:val="00342683"/>
    <w:rsid w:val="00350080"/>
    <w:rsid w:val="0035013B"/>
    <w:rsid w:val="0035095C"/>
    <w:rsid w:val="00350A75"/>
    <w:rsid w:val="0035527E"/>
    <w:rsid w:val="00357D8C"/>
    <w:rsid w:val="003601E3"/>
    <w:rsid w:val="00363FB2"/>
    <w:rsid w:val="00364204"/>
    <w:rsid w:val="00364C8A"/>
    <w:rsid w:val="00372A83"/>
    <w:rsid w:val="003754C6"/>
    <w:rsid w:val="003774E1"/>
    <w:rsid w:val="00377AF7"/>
    <w:rsid w:val="0038024A"/>
    <w:rsid w:val="00380C77"/>
    <w:rsid w:val="003875EB"/>
    <w:rsid w:val="003913AA"/>
    <w:rsid w:val="00392471"/>
    <w:rsid w:val="00392A15"/>
    <w:rsid w:val="0039519A"/>
    <w:rsid w:val="003B005E"/>
    <w:rsid w:val="003B141D"/>
    <w:rsid w:val="003C0135"/>
    <w:rsid w:val="003C0505"/>
    <w:rsid w:val="003C0A9A"/>
    <w:rsid w:val="003C0F45"/>
    <w:rsid w:val="003C29ED"/>
    <w:rsid w:val="003C370C"/>
    <w:rsid w:val="003D1460"/>
    <w:rsid w:val="003D47EC"/>
    <w:rsid w:val="003D5F84"/>
    <w:rsid w:val="003E2225"/>
    <w:rsid w:val="003E7DFA"/>
    <w:rsid w:val="003F31D2"/>
    <w:rsid w:val="003F42BA"/>
    <w:rsid w:val="003F63FF"/>
    <w:rsid w:val="003F74C3"/>
    <w:rsid w:val="00403D6C"/>
    <w:rsid w:val="00413F4A"/>
    <w:rsid w:val="0041624B"/>
    <w:rsid w:val="00424C2D"/>
    <w:rsid w:val="00425D7E"/>
    <w:rsid w:val="00427A57"/>
    <w:rsid w:val="00434D2A"/>
    <w:rsid w:val="004376E5"/>
    <w:rsid w:val="00443FF4"/>
    <w:rsid w:val="00444395"/>
    <w:rsid w:val="00450719"/>
    <w:rsid w:val="00453858"/>
    <w:rsid w:val="00457584"/>
    <w:rsid w:val="00461398"/>
    <w:rsid w:val="00467B0D"/>
    <w:rsid w:val="004711FB"/>
    <w:rsid w:val="00477A53"/>
    <w:rsid w:val="00477F5F"/>
    <w:rsid w:val="004802B5"/>
    <w:rsid w:val="004811EE"/>
    <w:rsid w:val="0048153E"/>
    <w:rsid w:val="00482E5A"/>
    <w:rsid w:val="004843EE"/>
    <w:rsid w:val="0048471A"/>
    <w:rsid w:val="00486046"/>
    <w:rsid w:val="00487B87"/>
    <w:rsid w:val="0049425D"/>
    <w:rsid w:val="00494CB1"/>
    <w:rsid w:val="004A15B3"/>
    <w:rsid w:val="004A1FA5"/>
    <w:rsid w:val="004A2098"/>
    <w:rsid w:val="004B177E"/>
    <w:rsid w:val="004B3485"/>
    <w:rsid w:val="004B5955"/>
    <w:rsid w:val="004B677A"/>
    <w:rsid w:val="004B67B5"/>
    <w:rsid w:val="004C5E06"/>
    <w:rsid w:val="004C6D46"/>
    <w:rsid w:val="004D1D4E"/>
    <w:rsid w:val="004D5241"/>
    <w:rsid w:val="004D59DD"/>
    <w:rsid w:val="004D6CE7"/>
    <w:rsid w:val="004E0B74"/>
    <w:rsid w:val="004E15B4"/>
    <w:rsid w:val="004E6D9F"/>
    <w:rsid w:val="00502F9C"/>
    <w:rsid w:val="00506983"/>
    <w:rsid w:val="00507AB6"/>
    <w:rsid w:val="005155E4"/>
    <w:rsid w:val="00521819"/>
    <w:rsid w:val="00522DB7"/>
    <w:rsid w:val="00527C13"/>
    <w:rsid w:val="00533EFA"/>
    <w:rsid w:val="005346FD"/>
    <w:rsid w:val="00544385"/>
    <w:rsid w:val="005458FC"/>
    <w:rsid w:val="00547B5C"/>
    <w:rsid w:val="005515EC"/>
    <w:rsid w:val="0055393D"/>
    <w:rsid w:val="00562463"/>
    <w:rsid w:val="00562CDD"/>
    <w:rsid w:val="005646F9"/>
    <w:rsid w:val="0057352F"/>
    <w:rsid w:val="0058554A"/>
    <w:rsid w:val="00586792"/>
    <w:rsid w:val="00590097"/>
    <w:rsid w:val="00591170"/>
    <w:rsid w:val="0059354F"/>
    <w:rsid w:val="00594DF4"/>
    <w:rsid w:val="00597183"/>
    <w:rsid w:val="005A3322"/>
    <w:rsid w:val="005B109C"/>
    <w:rsid w:val="005B1470"/>
    <w:rsid w:val="005B33FE"/>
    <w:rsid w:val="005B66E8"/>
    <w:rsid w:val="005B7691"/>
    <w:rsid w:val="005C3A6A"/>
    <w:rsid w:val="005C7631"/>
    <w:rsid w:val="005D31D2"/>
    <w:rsid w:val="005D5C12"/>
    <w:rsid w:val="005D5D2C"/>
    <w:rsid w:val="005D7AC0"/>
    <w:rsid w:val="005D7DBC"/>
    <w:rsid w:val="005E04B9"/>
    <w:rsid w:val="005E0513"/>
    <w:rsid w:val="005E3ADC"/>
    <w:rsid w:val="005F3542"/>
    <w:rsid w:val="005F4EF6"/>
    <w:rsid w:val="005F5A43"/>
    <w:rsid w:val="005F7830"/>
    <w:rsid w:val="00602659"/>
    <w:rsid w:val="00606B1B"/>
    <w:rsid w:val="006235CE"/>
    <w:rsid w:val="00624B99"/>
    <w:rsid w:val="0062729B"/>
    <w:rsid w:val="00630908"/>
    <w:rsid w:val="00642ED2"/>
    <w:rsid w:val="00647A60"/>
    <w:rsid w:val="00650331"/>
    <w:rsid w:val="00655140"/>
    <w:rsid w:val="00655AB9"/>
    <w:rsid w:val="00655CC9"/>
    <w:rsid w:val="00666480"/>
    <w:rsid w:val="00666644"/>
    <w:rsid w:val="006667AD"/>
    <w:rsid w:val="006675E7"/>
    <w:rsid w:val="00677E30"/>
    <w:rsid w:val="0068167D"/>
    <w:rsid w:val="00686332"/>
    <w:rsid w:val="00686CF2"/>
    <w:rsid w:val="00686F1F"/>
    <w:rsid w:val="00690B04"/>
    <w:rsid w:val="00692AAC"/>
    <w:rsid w:val="006932EA"/>
    <w:rsid w:val="006A451D"/>
    <w:rsid w:val="006A66DF"/>
    <w:rsid w:val="006B35B9"/>
    <w:rsid w:val="006B3EF3"/>
    <w:rsid w:val="006B6888"/>
    <w:rsid w:val="006C0465"/>
    <w:rsid w:val="006C7B36"/>
    <w:rsid w:val="006D0801"/>
    <w:rsid w:val="006D243B"/>
    <w:rsid w:val="006D2D81"/>
    <w:rsid w:val="006D5204"/>
    <w:rsid w:val="006D56CD"/>
    <w:rsid w:val="006E0105"/>
    <w:rsid w:val="006E266D"/>
    <w:rsid w:val="006E3606"/>
    <w:rsid w:val="006E41F9"/>
    <w:rsid w:val="006E55B8"/>
    <w:rsid w:val="006E74DD"/>
    <w:rsid w:val="006F5552"/>
    <w:rsid w:val="007110EB"/>
    <w:rsid w:val="0071256E"/>
    <w:rsid w:val="007228E6"/>
    <w:rsid w:val="0072643D"/>
    <w:rsid w:val="007268F0"/>
    <w:rsid w:val="00730A91"/>
    <w:rsid w:val="00734B42"/>
    <w:rsid w:val="007419E1"/>
    <w:rsid w:val="00741F45"/>
    <w:rsid w:val="007433EA"/>
    <w:rsid w:val="0074385D"/>
    <w:rsid w:val="0074665C"/>
    <w:rsid w:val="00750D4C"/>
    <w:rsid w:val="00756B45"/>
    <w:rsid w:val="00761D80"/>
    <w:rsid w:val="00764CC7"/>
    <w:rsid w:val="0076760F"/>
    <w:rsid w:val="00767968"/>
    <w:rsid w:val="007708C4"/>
    <w:rsid w:val="00775161"/>
    <w:rsid w:val="007759E7"/>
    <w:rsid w:val="0078029D"/>
    <w:rsid w:val="00781585"/>
    <w:rsid w:val="00781638"/>
    <w:rsid w:val="007830DC"/>
    <w:rsid w:val="00784610"/>
    <w:rsid w:val="00785637"/>
    <w:rsid w:val="00791007"/>
    <w:rsid w:val="00792531"/>
    <w:rsid w:val="0079544B"/>
    <w:rsid w:val="007A1A81"/>
    <w:rsid w:val="007A349E"/>
    <w:rsid w:val="007A6782"/>
    <w:rsid w:val="007B2C0A"/>
    <w:rsid w:val="007B5FF0"/>
    <w:rsid w:val="007B60CB"/>
    <w:rsid w:val="007D00F2"/>
    <w:rsid w:val="007E18D5"/>
    <w:rsid w:val="007E211A"/>
    <w:rsid w:val="007E2301"/>
    <w:rsid w:val="007E4C7D"/>
    <w:rsid w:val="007E7838"/>
    <w:rsid w:val="007F047F"/>
    <w:rsid w:val="007F2CA8"/>
    <w:rsid w:val="007F4874"/>
    <w:rsid w:val="007F4E6D"/>
    <w:rsid w:val="007F6ED0"/>
    <w:rsid w:val="007F75CF"/>
    <w:rsid w:val="00800A99"/>
    <w:rsid w:val="00804F54"/>
    <w:rsid w:val="00805079"/>
    <w:rsid w:val="0080517F"/>
    <w:rsid w:val="00811FBA"/>
    <w:rsid w:val="00812B62"/>
    <w:rsid w:val="00821649"/>
    <w:rsid w:val="0082616B"/>
    <w:rsid w:val="00830873"/>
    <w:rsid w:val="00830AC9"/>
    <w:rsid w:val="00830B4E"/>
    <w:rsid w:val="00831362"/>
    <w:rsid w:val="00835439"/>
    <w:rsid w:val="008423D6"/>
    <w:rsid w:val="00844602"/>
    <w:rsid w:val="00844A97"/>
    <w:rsid w:val="008541FA"/>
    <w:rsid w:val="00857CD1"/>
    <w:rsid w:val="00862EEE"/>
    <w:rsid w:val="0086716B"/>
    <w:rsid w:val="00870D1D"/>
    <w:rsid w:val="00875315"/>
    <w:rsid w:val="00876B7B"/>
    <w:rsid w:val="00877B66"/>
    <w:rsid w:val="00880021"/>
    <w:rsid w:val="00884591"/>
    <w:rsid w:val="00893228"/>
    <w:rsid w:val="00894459"/>
    <w:rsid w:val="008A3B65"/>
    <w:rsid w:val="008A4FAB"/>
    <w:rsid w:val="008A7455"/>
    <w:rsid w:val="008B34EF"/>
    <w:rsid w:val="008B4517"/>
    <w:rsid w:val="008B59D6"/>
    <w:rsid w:val="008C0322"/>
    <w:rsid w:val="008C5169"/>
    <w:rsid w:val="008D22C2"/>
    <w:rsid w:val="008D51DE"/>
    <w:rsid w:val="008E2E2B"/>
    <w:rsid w:val="008E2FA2"/>
    <w:rsid w:val="008E4C68"/>
    <w:rsid w:val="008E4D35"/>
    <w:rsid w:val="008E72B2"/>
    <w:rsid w:val="008F1F1D"/>
    <w:rsid w:val="008F29AD"/>
    <w:rsid w:val="008F2DBC"/>
    <w:rsid w:val="008F4E02"/>
    <w:rsid w:val="00901DB9"/>
    <w:rsid w:val="00907DA1"/>
    <w:rsid w:val="0091098E"/>
    <w:rsid w:val="00911F09"/>
    <w:rsid w:val="00915527"/>
    <w:rsid w:val="0091574F"/>
    <w:rsid w:val="009200B0"/>
    <w:rsid w:val="00920C83"/>
    <w:rsid w:val="009228BD"/>
    <w:rsid w:val="00922D50"/>
    <w:rsid w:val="00924D9B"/>
    <w:rsid w:val="0093063E"/>
    <w:rsid w:val="00932B9B"/>
    <w:rsid w:val="00934B28"/>
    <w:rsid w:val="009350D8"/>
    <w:rsid w:val="00935650"/>
    <w:rsid w:val="00936946"/>
    <w:rsid w:val="00950DAB"/>
    <w:rsid w:val="00952826"/>
    <w:rsid w:val="0095447F"/>
    <w:rsid w:val="00955AEC"/>
    <w:rsid w:val="00956E94"/>
    <w:rsid w:val="009578F7"/>
    <w:rsid w:val="00960116"/>
    <w:rsid w:val="00963992"/>
    <w:rsid w:val="00975A4D"/>
    <w:rsid w:val="009911F4"/>
    <w:rsid w:val="0099371B"/>
    <w:rsid w:val="009944A0"/>
    <w:rsid w:val="00995611"/>
    <w:rsid w:val="009972D5"/>
    <w:rsid w:val="00997825"/>
    <w:rsid w:val="009A2721"/>
    <w:rsid w:val="009B0FAC"/>
    <w:rsid w:val="009B112E"/>
    <w:rsid w:val="009C6305"/>
    <w:rsid w:val="009D0973"/>
    <w:rsid w:val="009D265E"/>
    <w:rsid w:val="009D632B"/>
    <w:rsid w:val="009E56A0"/>
    <w:rsid w:val="009F3B82"/>
    <w:rsid w:val="009F5922"/>
    <w:rsid w:val="009F6C1F"/>
    <w:rsid w:val="009F7BB2"/>
    <w:rsid w:val="00A00754"/>
    <w:rsid w:val="00A00C47"/>
    <w:rsid w:val="00A00FBE"/>
    <w:rsid w:val="00A027C5"/>
    <w:rsid w:val="00A0285B"/>
    <w:rsid w:val="00A07D6D"/>
    <w:rsid w:val="00A14845"/>
    <w:rsid w:val="00A16BE2"/>
    <w:rsid w:val="00A1789B"/>
    <w:rsid w:val="00A24C36"/>
    <w:rsid w:val="00A26995"/>
    <w:rsid w:val="00A3057D"/>
    <w:rsid w:val="00A32D97"/>
    <w:rsid w:val="00A33C33"/>
    <w:rsid w:val="00A455D5"/>
    <w:rsid w:val="00A456F0"/>
    <w:rsid w:val="00A50921"/>
    <w:rsid w:val="00A52C19"/>
    <w:rsid w:val="00A5594F"/>
    <w:rsid w:val="00A641AE"/>
    <w:rsid w:val="00A64487"/>
    <w:rsid w:val="00A704B4"/>
    <w:rsid w:val="00A7412C"/>
    <w:rsid w:val="00A763B8"/>
    <w:rsid w:val="00A80B44"/>
    <w:rsid w:val="00A83EF9"/>
    <w:rsid w:val="00A8715F"/>
    <w:rsid w:val="00A87ED4"/>
    <w:rsid w:val="00A90EA8"/>
    <w:rsid w:val="00A92EB9"/>
    <w:rsid w:val="00AA45A9"/>
    <w:rsid w:val="00AA5F85"/>
    <w:rsid w:val="00AB2A3A"/>
    <w:rsid w:val="00AB66B3"/>
    <w:rsid w:val="00AC0C92"/>
    <w:rsid w:val="00AC4184"/>
    <w:rsid w:val="00AC5A69"/>
    <w:rsid w:val="00AC6678"/>
    <w:rsid w:val="00AC6F3F"/>
    <w:rsid w:val="00AD10E6"/>
    <w:rsid w:val="00AD16F4"/>
    <w:rsid w:val="00AD2903"/>
    <w:rsid w:val="00AD39DA"/>
    <w:rsid w:val="00AD60D3"/>
    <w:rsid w:val="00AE06FF"/>
    <w:rsid w:val="00AE2167"/>
    <w:rsid w:val="00AE3148"/>
    <w:rsid w:val="00B01F60"/>
    <w:rsid w:val="00B02319"/>
    <w:rsid w:val="00B03600"/>
    <w:rsid w:val="00B05D63"/>
    <w:rsid w:val="00B06BBD"/>
    <w:rsid w:val="00B11830"/>
    <w:rsid w:val="00B126A5"/>
    <w:rsid w:val="00B14E85"/>
    <w:rsid w:val="00B20E11"/>
    <w:rsid w:val="00B219EC"/>
    <w:rsid w:val="00B23A78"/>
    <w:rsid w:val="00B27834"/>
    <w:rsid w:val="00B30DF7"/>
    <w:rsid w:val="00B42CB6"/>
    <w:rsid w:val="00B43106"/>
    <w:rsid w:val="00B47A1F"/>
    <w:rsid w:val="00B5094F"/>
    <w:rsid w:val="00B50A28"/>
    <w:rsid w:val="00B54D6C"/>
    <w:rsid w:val="00B56182"/>
    <w:rsid w:val="00B570F3"/>
    <w:rsid w:val="00B57FEA"/>
    <w:rsid w:val="00B70CA1"/>
    <w:rsid w:val="00B71DD6"/>
    <w:rsid w:val="00B72A66"/>
    <w:rsid w:val="00B92AB3"/>
    <w:rsid w:val="00B96F15"/>
    <w:rsid w:val="00BA0725"/>
    <w:rsid w:val="00BA0C03"/>
    <w:rsid w:val="00BA3D10"/>
    <w:rsid w:val="00BB17AB"/>
    <w:rsid w:val="00BB50C6"/>
    <w:rsid w:val="00BC06E5"/>
    <w:rsid w:val="00BC7293"/>
    <w:rsid w:val="00BD6E52"/>
    <w:rsid w:val="00BE3FA8"/>
    <w:rsid w:val="00BE5E65"/>
    <w:rsid w:val="00BE64B4"/>
    <w:rsid w:val="00BF171D"/>
    <w:rsid w:val="00BF468E"/>
    <w:rsid w:val="00C1144B"/>
    <w:rsid w:val="00C1285C"/>
    <w:rsid w:val="00C12A57"/>
    <w:rsid w:val="00C1463B"/>
    <w:rsid w:val="00C161BD"/>
    <w:rsid w:val="00C21CC0"/>
    <w:rsid w:val="00C22321"/>
    <w:rsid w:val="00C227AA"/>
    <w:rsid w:val="00C2416F"/>
    <w:rsid w:val="00C31ADB"/>
    <w:rsid w:val="00C34E93"/>
    <w:rsid w:val="00C35B51"/>
    <w:rsid w:val="00C40790"/>
    <w:rsid w:val="00C43BA0"/>
    <w:rsid w:val="00C44833"/>
    <w:rsid w:val="00C470C9"/>
    <w:rsid w:val="00C51225"/>
    <w:rsid w:val="00C5289A"/>
    <w:rsid w:val="00C60101"/>
    <w:rsid w:val="00C6236D"/>
    <w:rsid w:val="00C628A4"/>
    <w:rsid w:val="00C64722"/>
    <w:rsid w:val="00C65323"/>
    <w:rsid w:val="00C66498"/>
    <w:rsid w:val="00C671B3"/>
    <w:rsid w:val="00C676C5"/>
    <w:rsid w:val="00C67AEE"/>
    <w:rsid w:val="00C67B6D"/>
    <w:rsid w:val="00C73FF0"/>
    <w:rsid w:val="00C764B5"/>
    <w:rsid w:val="00C77AA5"/>
    <w:rsid w:val="00C81AC3"/>
    <w:rsid w:val="00C81C9D"/>
    <w:rsid w:val="00C83BE5"/>
    <w:rsid w:val="00C84D8B"/>
    <w:rsid w:val="00C86681"/>
    <w:rsid w:val="00C90F61"/>
    <w:rsid w:val="00C918D5"/>
    <w:rsid w:val="00C97263"/>
    <w:rsid w:val="00CA13C9"/>
    <w:rsid w:val="00CA653D"/>
    <w:rsid w:val="00CB0C05"/>
    <w:rsid w:val="00CB12DF"/>
    <w:rsid w:val="00CB383A"/>
    <w:rsid w:val="00CD4E7B"/>
    <w:rsid w:val="00CE2EFD"/>
    <w:rsid w:val="00CF0900"/>
    <w:rsid w:val="00CF381D"/>
    <w:rsid w:val="00CF60CE"/>
    <w:rsid w:val="00CF7FAB"/>
    <w:rsid w:val="00D012AB"/>
    <w:rsid w:val="00D013C8"/>
    <w:rsid w:val="00D07737"/>
    <w:rsid w:val="00D077BE"/>
    <w:rsid w:val="00D135FE"/>
    <w:rsid w:val="00D23A11"/>
    <w:rsid w:val="00D25062"/>
    <w:rsid w:val="00D307CA"/>
    <w:rsid w:val="00D31E18"/>
    <w:rsid w:val="00D34868"/>
    <w:rsid w:val="00D36727"/>
    <w:rsid w:val="00D37325"/>
    <w:rsid w:val="00D37E86"/>
    <w:rsid w:val="00D43BD4"/>
    <w:rsid w:val="00D43E3C"/>
    <w:rsid w:val="00D44314"/>
    <w:rsid w:val="00D45A1C"/>
    <w:rsid w:val="00D45B42"/>
    <w:rsid w:val="00D54E1F"/>
    <w:rsid w:val="00D55A28"/>
    <w:rsid w:val="00D55DC2"/>
    <w:rsid w:val="00D72655"/>
    <w:rsid w:val="00D73B92"/>
    <w:rsid w:val="00D772ED"/>
    <w:rsid w:val="00D77574"/>
    <w:rsid w:val="00D8148C"/>
    <w:rsid w:val="00D84D4D"/>
    <w:rsid w:val="00D854FF"/>
    <w:rsid w:val="00D86DC2"/>
    <w:rsid w:val="00D93460"/>
    <w:rsid w:val="00D94C39"/>
    <w:rsid w:val="00D95B7A"/>
    <w:rsid w:val="00D96B1C"/>
    <w:rsid w:val="00D97129"/>
    <w:rsid w:val="00DA2FCF"/>
    <w:rsid w:val="00DA3619"/>
    <w:rsid w:val="00DA77B9"/>
    <w:rsid w:val="00DA7AAF"/>
    <w:rsid w:val="00DB2AF2"/>
    <w:rsid w:val="00DB3130"/>
    <w:rsid w:val="00DB3608"/>
    <w:rsid w:val="00DC4693"/>
    <w:rsid w:val="00DD1DE4"/>
    <w:rsid w:val="00DD2512"/>
    <w:rsid w:val="00DD38D3"/>
    <w:rsid w:val="00DF0819"/>
    <w:rsid w:val="00DF094A"/>
    <w:rsid w:val="00DF2DF7"/>
    <w:rsid w:val="00DF5409"/>
    <w:rsid w:val="00DF71C8"/>
    <w:rsid w:val="00DF7E05"/>
    <w:rsid w:val="00E020D3"/>
    <w:rsid w:val="00E03C0C"/>
    <w:rsid w:val="00E0744A"/>
    <w:rsid w:val="00E12165"/>
    <w:rsid w:val="00E12EFD"/>
    <w:rsid w:val="00E1337B"/>
    <w:rsid w:val="00E143E8"/>
    <w:rsid w:val="00E1594C"/>
    <w:rsid w:val="00E169D9"/>
    <w:rsid w:val="00E17783"/>
    <w:rsid w:val="00E20EE5"/>
    <w:rsid w:val="00E22F48"/>
    <w:rsid w:val="00E2578D"/>
    <w:rsid w:val="00E304D8"/>
    <w:rsid w:val="00E3259B"/>
    <w:rsid w:val="00E32E04"/>
    <w:rsid w:val="00E3474B"/>
    <w:rsid w:val="00E3682E"/>
    <w:rsid w:val="00E40454"/>
    <w:rsid w:val="00E42994"/>
    <w:rsid w:val="00E43262"/>
    <w:rsid w:val="00E435BF"/>
    <w:rsid w:val="00E53091"/>
    <w:rsid w:val="00E544AF"/>
    <w:rsid w:val="00E61138"/>
    <w:rsid w:val="00E61632"/>
    <w:rsid w:val="00E61A4F"/>
    <w:rsid w:val="00E62287"/>
    <w:rsid w:val="00E6244E"/>
    <w:rsid w:val="00E6542B"/>
    <w:rsid w:val="00E67D8F"/>
    <w:rsid w:val="00E711C8"/>
    <w:rsid w:val="00E721EF"/>
    <w:rsid w:val="00E80306"/>
    <w:rsid w:val="00E836C2"/>
    <w:rsid w:val="00E83EEB"/>
    <w:rsid w:val="00E86682"/>
    <w:rsid w:val="00E93050"/>
    <w:rsid w:val="00E931E7"/>
    <w:rsid w:val="00E94580"/>
    <w:rsid w:val="00EA1E54"/>
    <w:rsid w:val="00EA3E63"/>
    <w:rsid w:val="00EA4202"/>
    <w:rsid w:val="00EA4313"/>
    <w:rsid w:val="00EA4E4D"/>
    <w:rsid w:val="00EA64C2"/>
    <w:rsid w:val="00EB0D94"/>
    <w:rsid w:val="00EB6598"/>
    <w:rsid w:val="00EC2304"/>
    <w:rsid w:val="00EC2F03"/>
    <w:rsid w:val="00EC6570"/>
    <w:rsid w:val="00ED4FE8"/>
    <w:rsid w:val="00EE101E"/>
    <w:rsid w:val="00EE1F5C"/>
    <w:rsid w:val="00EE7F6C"/>
    <w:rsid w:val="00EF2B15"/>
    <w:rsid w:val="00EF62C6"/>
    <w:rsid w:val="00F001FE"/>
    <w:rsid w:val="00F008CC"/>
    <w:rsid w:val="00F01208"/>
    <w:rsid w:val="00F035C7"/>
    <w:rsid w:val="00F05855"/>
    <w:rsid w:val="00F06A3C"/>
    <w:rsid w:val="00F11C83"/>
    <w:rsid w:val="00F14642"/>
    <w:rsid w:val="00F15327"/>
    <w:rsid w:val="00F15645"/>
    <w:rsid w:val="00F15A96"/>
    <w:rsid w:val="00F24FB4"/>
    <w:rsid w:val="00F25879"/>
    <w:rsid w:val="00F25E96"/>
    <w:rsid w:val="00F27621"/>
    <w:rsid w:val="00F3500A"/>
    <w:rsid w:val="00F41D4C"/>
    <w:rsid w:val="00F46AA0"/>
    <w:rsid w:val="00F54E65"/>
    <w:rsid w:val="00F56BC0"/>
    <w:rsid w:val="00F6168F"/>
    <w:rsid w:val="00F61DA5"/>
    <w:rsid w:val="00F6569B"/>
    <w:rsid w:val="00F702F0"/>
    <w:rsid w:val="00F712B5"/>
    <w:rsid w:val="00F73D81"/>
    <w:rsid w:val="00F73ECF"/>
    <w:rsid w:val="00F74603"/>
    <w:rsid w:val="00F83726"/>
    <w:rsid w:val="00F85D95"/>
    <w:rsid w:val="00F91A10"/>
    <w:rsid w:val="00FA4408"/>
    <w:rsid w:val="00FD2BCA"/>
    <w:rsid w:val="00FD39A7"/>
    <w:rsid w:val="00FD75B5"/>
    <w:rsid w:val="00FE5D62"/>
    <w:rsid w:val="00FE60F7"/>
    <w:rsid w:val="00FE6AFA"/>
    <w:rsid w:val="00FF6B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C158AC2"/>
  <w15:docId w15:val="{22C87019-D124-4A85-81CA-738BCE08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2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4204"/>
  </w:style>
  <w:style w:type="paragraph" w:styleId="Footer">
    <w:name w:val="footer"/>
    <w:basedOn w:val="Normal"/>
    <w:link w:val="FooterChar"/>
    <w:uiPriority w:val="99"/>
    <w:unhideWhenUsed/>
    <w:rsid w:val="003642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4204"/>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82616B"/>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82616B"/>
    <w:rPr>
      <w:sz w:val="20"/>
      <w:szCs w:val="20"/>
    </w:rPr>
  </w:style>
  <w:style w:type="paragraph" w:styleId="BalloonText">
    <w:name w:val="Balloon Text"/>
    <w:basedOn w:val="Normal"/>
    <w:link w:val="BalloonTextChar"/>
    <w:uiPriority w:val="99"/>
    <w:semiHidden/>
    <w:unhideWhenUsed/>
    <w:rsid w:val="007F4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E6D"/>
    <w:rPr>
      <w:rFonts w:ascii="Tahoma" w:hAnsi="Tahoma" w:cs="Tahoma"/>
      <w:sz w:val="16"/>
      <w:szCs w:val="16"/>
    </w:rPr>
  </w:style>
  <w:style w:type="paragraph" w:styleId="ListParagraph">
    <w:name w:val="List Paragraph"/>
    <w:basedOn w:val="Normal"/>
    <w:uiPriority w:val="34"/>
    <w:qFormat/>
    <w:rsid w:val="007F4E6D"/>
    <w:pPr>
      <w:ind w:left="720"/>
      <w:contextualSpacing/>
    </w:p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iPriority w:val="99"/>
    <w:unhideWhenUsed/>
    <w:qFormat/>
    <w:rsid w:val="000568E4"/>
    <w:rPr>
      <w:vertAlign w:val="superscript"/>
    </w:rPr>
  </w:style>
  <w:style w:type="character" w:styleId="CommentReference">
    <w:name w:val="annotation reference"/>
    <w:basedOn w:val="DefaultParagraphFont"/>
    <w:uiPriority w:val="99"/>
    <w:semiHidden/>
    <w:unhideWhenUsed/>
    <w:rsid w:val="006D243B"/>
    <w:rPr>
      <w:sz w:val="16"/>
      <w:szCs w:val="16"/>
    </w:rPr>
  </w:style>
  <w:style w:type="paragraph" w:styleId="CommentText">
    <w:name w:val="annotation text"/>
    <w:basedOn w:val="Normal"/>
    <w:link w:val="CommentTextChar"/>
    <w:uiPriority w:val="99"/>
    <w:semiHidden/>
    <w:unhideWhenUsed/>
    <w:rsid w:val="006D243B"/>
    <w:pPr>
      <w:spacing w:line="240" w:lineRule="auto"/>
    </w:pPr>
    <w:rPr>
      <w:sz w:val="20"/>
      <w:szCs w:val="20"/>
    </w:rPr>
  </w:style>
  <w:style w:type="character" w:customStyle="1" w:styleId="CommentTextChar">
    <w:name w:val="Comment Text Char"/>
    <w:basedOn w:val="DefaultParagraphFont"/>
    <w:link w:val="CommentText"/>
    <w:uiPriority w:val="99"/>
    <w:semiHidden/>
    <w:rsid w:val="006D243B"/>
    <w:rPr>
      <w:sz w:val="20"/>
      <w:szCs w:val="20"/>
    </w:rPr>
  </w:style>
  <w:style w:type="paragraph" w:styleId="CommentSubject">
    <w:name w:val="annotation subject"/>
    <w:basedOn w:val="CommentText"/>
    <w:next w:val="CommentText"/>
    <w:link w:val="CommentSubjectChar"/>
    <w:uiPriority w:val="99"/>
    <w:semiHidden/>
    <w:unhideWhenUsed/>
    <w:rsid w:val="006D243B"/>
    <w:rPr>
      <w:b/>
      <w:bCs/>
    </w:rPr>
  </w:style>
  <w:style w:type="character" w:customStyle="1" w:styleId="CommentSubjectChar">
    <w:name w:val="Comment Subject Char"/>
    <w:basedOn w:val="CommentTextChar"/>
    <w:link w:val="CommentSubject"/>
    <w:uiPriority w:val="99"/>
    <w:semiHidden/>
    <w:rsid w:val="006D243B"/>
    <w:rPr>
      <w:b/>
      <w:bCs/>
      <w:sz w:val="20"/>
      <w:szCs w:val="20"/>
    </w:rPr>
  </w:style>
  <w:style w:type="paragraph" w:styleId="Revision">
    <w:name w:val="Revision"/>
    <w:hidden/>
    <w:uiPriority w:val="99"/>
    <w:semiHidden/>
    <w:rsid w:val="00FE6AFA"/>
    <w:pPr>
      <w:spacing w:after="0" w:line="240" w:lineRule="auto"/>
    </w:pPr>
  </w:style>
  <w:style w:type="table" w:styleId="TableGrid">
    <w:name w:val="Table Grid"/>
    <w:basedOn w:val="TableNormal"/>
    <w:uiPriority w:val="59"/>
    <w:rsid w:val="00D250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5062"/>
    <w:rPr>
      <w:rFonts w:ascii="Times New Roman" w:hAnsi="Times New Roman" w:cs="Times New Roman"/>
      <w:sz w:val="24"/>
      <w:szCs w:val="24"/>
    </w:rPr>
  </w:style>
  <w:style w:type="character" w:styleId="Hyperlink">
    <w:name w:val="Hyperlink"/>
    <w:basedOn w:val="DefaultParagraphFont"/>
    <w:uiPriority w:val="99"/>
    <w:unhideWhenUsed/>
    <w:rsid w:val="00F24F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42678">
      <w:bodyDiv w:val="1"/>
      <w:marLeft w:val="0"/>
      <w:marRight w:val="0"/>
      <w:marTop w:val="0"/>
      <w:marBottom w:val="0"/>
      <w:divBdr>
        <w:top w:val="none" w:sz="0" w:space="0" w:color="auto"/>
        <w:left w:val="none" w:sz="0" w:space="0" w:color="auto"/>
        <w:bottom w:val="none" w:sz="0" w:space="0" w:color="auto"/>
        <w:right w:val="none" w:sz="0" w:space="0" w:color="auto"/>
      </w:divBdr>
      <w:divsChild>
        <w:div w:id="99640809">
          <w:marLeft w:val="0"/>
          <w:marRight w:val="0"/>
          <w:marTop w:val="0"/>
          <w:marBottom w:val="0"/>
          <w:divBdr>
            <w:top w:val="none" w:sz="0" w:space="0" w:color="auto"/>
            <w:left w:val="none" w:sz="0" w:space="0" w:color="auto"/>
            <w:bottom w:val="none" w:sz="0" w:space="0" w:color="auto"/>
            <w:right w:val="none" w:sz="0" w:space="0" w:color="auto"/>
          </w:divBdr>
        </w:div>
        <w:div w:id="104204302">
          <w:marLeft w:val="0"/>
          <w:marRight w:val="0"/>
          <w:marTop w:val="0"/>
          <w:marBottom w:val="0"/>
          <w:divBdr>
            <w:top w:val="none" w:sz="0" w:space="0" w:color="auto"/>
            <w:left w:val="none" w:sz="0" w:space="0" w:color="auto"/>
            <w:bottom w:val="none" w:sz="0" w:space="0" w:color="auto"/>
            <w:right w:val="none" w:sz="0" w:space="0" w:color="auto"/>
          </w:divBdr>
        </w:div>
        <w:div w:id="229772004">
          <w:marLeft w:val="0"/>
          <w:marRight w:val="0"/>
          <w:marTop w:val="0"/>
          <w:marBottom w:val="0"/>
          <w:divBdr>
            <w:top w:val="none" w:sz="0" w:space="0" w:color="auto"/>
            <w:left w:val="none" w:sz="0" w:space="0" w:color="auto"/>
            <w:bottom w:val="none" w:sz="0" w:space="0" w:color="auto"/>
            <w:right w:val="none" w:sz="0" w:space="0" w:color="auto"/>
          </w:divBdr>
        </w:div>
        <w:div w:id="286857325">
          <w:marLeft w:val="0"/>
          <w:marRight w:val="0"/>
          <w:marTop w:val="0"/>
          <w:marBottom w:val="0"/>
          <w:divBdr>
            <w:top w:val="none" w:sz="0" w:space="0" w:color="auto"/>
            <w:left w:val="none" w:sz="0" w:space="0" w:color="auto"/>
            <w:bottom w:val="none" w:sz="0" w:space="0" w:color="auto"/>
            <w:right w:val="none" w:sz="0" w:space="0" w:color="auto"/>
          </w:divBdr>
        </w:div>
        <w:div w:id="537279012">
          <w:marLeft w:val="0"/>
          <w:marRight w:val="0"/>
          <w:marTop w:val="0"/>
          <w:marBottom w:val="0"/>
          <w:divBdr>
            <w:top w:val="none" w:sz="0" w:space="0" w:color="auto"/>
            <w:left w:val="none" w:sz="0" w:space="0" w:color="auto"/>
            <w:bottom w:val="none" w:sz="0" w:space="0" w:color="auto"/>
            <w:right w:val="none" w:sz="0" w:space="0" w:color="auto"/>
          </w:divBdr>
        </w:div>
        <w:div w:id="668602160">
          <w:marLeft w:val="0"/>
          <w:marRight w:val="0"/>
          <w:marTop w:val="0"/>
          <w:marBottom w:val="0"/>
          <w:divBdr>
            <w:top w:val="none" w:sz="0" w:space="0" w:color="auto"/>
            <w:left w:val="none" w:sz="0" w:space="0" w:color="auto"/>
            <w:bottom w:val="none" w:sz="0" w:space="0" w:color="auto"/>
            <w:right w:val="none" w:sz="0" w:space="0" w:color="auto"/>
          </w:divBdr>
        </w:div>
        <w:div w:id="688332640">
          <w:marLeft w:val="0"/>
          <w:marRight w:val="0"/>
          <w:marTop w:val="0"/>
          <w:marBottom w:val="0"/>
          <w:divBdr>
            <w:top w:val="none" w:sz="0" w:space="0" w:color="auto"/>
            <w:left w:val="none" w:sz="0" w:space="0" w:color="auto"/>
            <w:bottom w:val="none" w:sz="0" w:space="0" w:color="auto"/>
            <w:right w:val="none" w:sz="0" w:space="0" w:color="auto"/>
          </w:divBdr>
        </w:div>
        <w:div w:id="823620529">
          <w:marLeft w:val="0"/>
          <w:marRight w:val="0"/>
          <w:marTop w:val="0"/>
          <w:marBottom w:val="0"/>
          <w:divBdr>
            <w:top w:val="none" w:sz="0" w:space="0" w:color="auto"/>
            <w:left w:val="none" w:sz="0" w:space="0" w:color="auto"/>
            <w:bottom w:val="none" w:sz="0" w:space="0" w:color="auto"/>
            <w:right w:val="none" w:sz="0" w:space="0" w:color="auto"/>
          </w:divBdr>
        </w:div>
        <w:div w:id="937908240">
          <w:marLeft w:val="0"/>
          <w:marRight w:val="0"/>
          <w:marTop w:val="0"/>
          <w:marBottom w:val="0"/>
          <w:divBdr>
            <w:top w:val="none" w:sz="0" w:space="0" w:color="auto"/>
            <w:left w:val="none" w:sz="0" w:space="0" w:color="auto"/>
            <w:bottom w:val="none" w:sz="0" w:space="0" w:color="auto"/>
            <w:right w:val="none" w:sz="0" w:space="0" w:color="auto"/>
          </w:divBdr>
        </w:div>
        <w:div w:id="1362900809">
          <w:marLeft w:val="0"/>
          <w:marRight w:val="0"/>
          <w:marTop w:val="0"/>
          <w:marBottom w:val="0"/>
          <w:divBdr>
            <w:top w:val="none" w:sz="0" w:space="0" w:color="auto"/>
            <w:left w:val="none" w:sz="0" w:space="0" w:color="auto"/>
            <w:bottom w:val="none" w:sz="0" w:space="0" w:color="auto"/>
            <w:right w:val="none" w:sz="0" w:space="0" w:color="auto"/>
          </w:divBdr>
        </w:div>
        <w:div w:id="1903515285">
          <w:marLeft w:val="0"/>
          <w:marRight w:val="0"/>
          <w:marTop w:val="0"/>
          <w:marBottom w:val="0"/>
          <w:divBdr>
            <w:top w:val="none" w:sz="0" w:space="0" w:color="auto"/>
            <w:left w:val="none" w:sz="0" w:space="0" w:color="auto"/>
            <w:bottom w:val="none" w:sz="0" w:space="0" w:color="auto"/>
            <w:right w:val="none" w:sz="0" w:space="0" w:color="auto"/>
          </w:divBdr>
        </w:div>
      </w:divsChild>
    </w:div>
    <w:div w:id="571041254">
      <w:bodyDiv w:val="1"/>
      <w:marLeft w:val="0"/>
      <w:marRight w:val="0"/>
      <w:marTop w:val="0"/>
      <w:marBottom w:val="0"/>
      <w:divBdr>
        <w:top w:val="none" w:sz="0" w:space="0" w:color="auto"/>
        <w:left w:val="none" w:sz="0" w:space="0" w:color="auto"/>
        <w:bottom w:val="none" w:sz="0" w:space="0" w:color="auto"/>
        <w:right w:val="none" w:sz="0" w:space="0" w:color="auto"/>
      </w:divBdr>
      <w:divsChild>
        <w:div w:id="206575533">
          <w:marLeft w:val="0"/>
          <w:marRight w:val="0"/>
          <w:marTop w:val="0"/>
          <w:marBottom w:val="0"/>
          <w:divBdr>
            <w:top w:val="none" w:sz="0" w:space="0" w:color="auto"/>
            <w:left w:val="none" w:sz="0" w:space="0" w:color="auto"/>
            <w:bottom w:val="none" w:sz="0" w:space="0" w:color="auto"/>
            <w:right w:val="none" w:sz="0" w:space="0" w:color="auto"/>
          </w:divBdr>
        </w:div>
        <w:div w:id="333074029">
          <w:marLeft w:val="0"/>
          <w:marRight w:val="0"/>
          <w:marTop w:val="0"/>
          <w:marBottom w:val="0"/>
          <w:divBdr>
            <w:top w:val="none" w:sz="0" w:space="0" w:color="auto"/>
            <w:left w:val="none" w:sz="0" w:space="0" w:color="auto"/>
            <w:bottom w:val="none" w:sz="0" w:space="0" w:color="auto"/>
            <w:right w:val="none" w:sz="0" w:space="0" w:color="auto"/>
          </w:divBdr>
        </w:div>
        <w:div w:id="348408658">
          <w:marLeft w:val="0"/>
          <w:marRight w:val="0"/>
          <w:marTop w:val="0"/>
          <w:marBottom w:val="0"/>
          <w:divBdr>
            <w:top w:val="none" w:sz="0" w:space="0" w:color="auto"/>
            <w:left w:val="none" w:sz="0" w:space="0" w:color="auto"/>
            <w:bottom w:val="none" w:sz="0" w:space="0" w:color="auto"/>
            <w:right w:val="none" w:sz="0" w:space="0" w:color="auto"/>
          </w:divBdr>
        </w:div>
        <w:div w:id="960458964">
          <w:marLeft w:val="0"/>
          <w:marRight w:val="0"/>
          <w:marTop w:val="0"/>
          <w:marBottom w:val="0"/>
          <w:divBdr>
            <w:top w:val="none" w:sz="0" w:space="0" w:color="auto"/>
            <w:left w:val="none" w:sz="0" w:space="0" w:color="auto"/>
            <w:bottom w:val="none" w:sz="0" w:space="0" w:color="auto"/>
            <w:right w:val="none" w:sz="0" w:space="0" w:color="auto"/>
          </w:divBdr>
        </w:div>
        <w:div w:id="1108621646">
          <w:marLeft w:val="0"/>
          <w:marRight w:val="0"/>
          <w:marTop w:val="0"/>
          <w:marBottom w:val="0"/>
          <w:divBdr>
            <w:top w:val="none" w:sz="0" w:space="0" w:color="auto"/>
            <w:left w:val="none" w:sz="0" w:space="0" w:color="auto"/>
            <w:bottom w:val="none" w:sz="0" w:space="0" w:color="auto"/>
            <w:right w:val="none" w:sz="0" w:space="0" w:color="auto"/>
          </w:divBdr>
        </w:div>
        <w:div w:id="1466922081">
          <w:marLeft w:val="0"/>
          <w:marRight w:val="0"/>
          <w:marTop w:val="0"/>
          <w:marBottom w:val="0"/>
          <w:divBdr>
            <w:top w:val="none" w:sz="0" w:space="0" w:color="auto"/>
            <w:left w:val="none" w:sz="0" w:space="0" w:color="auto"/>
            <w:bottom w:val="none" w:sz="0" w:space="0" w:color="auto"/>
            <w:right w:val="none" w:sz="0" w:space="0" w:color="auto"/>
          </w:divBdr>
        </w:div>
        <w:div w:id="1610814285">
          <w:marLeft w:val="0"/>
          <w:marRight w:val="0"/>
          <w:marTop w:val="0"/>
          <w:marBottom w:val="0"/>
          <w:divBdr>
            <w:top w:val="none" w:sz="0" w:space="0" w:color="auto"/>
            <w:left w:val="none" w:sz="0" w:space="0" w:color="auto"/>
            <w:bottom w:val="none" w:sz="0" w:space="0" w:color="auto"/>
            <w:right w:val="none" w:sz="0" w:space="0" w:color="auto"/>
          </w:divBdr>
        </w:div>
        <w:div w:id="1866820602">
          <w:marLeft w:val="0"/>
          <w:marRight w:val="0"/>
          <w:marTop w:val="0"/>
          <w:marBottom w:val="0"/>
          <w:divBdr>
            <w:top w:val="none" w:sz="0" w:space="0" w:color="auto"/>
            <w:left w:val="none" w:sz="0" w:space="0" w:color="auto"/>
            <w:bottom w:val="none" w:sz="0" w:space="0" w:color="auto"/>
            <w:right w:val="none" w:sz="0" w:space="0" w:color="auto"/>
          </w:divBdr>
        </w:div>
        <w:div w:id="1920020770">
          <w:marLeft w:val="0"/>
          <w:marRight w:val="0"/>
          <w:marTop w:val="0"/>
          <w:marBottom w:val="0"/>
          <w:divBdr>
            <w:top w:val="none" w:sz="0" w:space="0" w:color="auto"/>
            <w:left w:val="none" w:sz="0" w:space="0" w:color="auto"/>
            <w:bottom w:val="none" w:sz="0" w:space="0" w:color="auto"/>
            <w:right w:val="none" w:sz="0" w:space="0" w:color="auto"/>
          </w:divBdr>
        </w:div>
        <w:div w:id="1985500106">
          <w:marLeft w:val="0"/>
          <w:marRight w:val="0"/>
          <w:marTop w:val="0"/>
          <w:marBottom w:val="0"/>
          <w:divBdr>
            <w:top w:val="none" w:sz="0" w:space="0" w:color="auto"/>
            <w:left w:val="none" w:sz="0" w:space="0" w:color="auto"/>
            <w:bottom w:val="none" w:sz="0" w:space="0" w:color="auto"/>
            <w:right w:val="none" w:sz="0" w:space="0" w:color="auto"/>
          </w:divBdr>
        </w:div>
      </w:divsChild>
    </w:div>
    <w:div w:id="707724185">
      <w:bodyDiv w:val="1"/>
      <w:marLeft w:val="0"/>
      <w:marRight w:val="0"/>
      <w:marTop w:val="0"/>
      <w:marBottom w:val="0"/>
      <w:divBdr>
        <w:top w:val="none" w:sz="0" w:space="0" w:color="auto"/>
        <w:left w:val="none" w:sz="0" w:space="0" w:color="auto"/>
        <w:bottom w:val="none" w:sz="0" w:space="0" w:color="auto"/>
        <w:right w:val="none" w:sz="0" w:space="0" w:color="auto"/>
      </w:divBdr>
    </w:div>
    <w:div w:id="724960297">
      <w:bodyDiv w:val="1"/>
      <w:marLeft w:val="0"/>
      <w:marRight w:val="0"/>
      <w:marTop w:val="0"/>
      <w:marBottom w:val="0"/>
      <w:divBdr>
        <w:top w:val="none" w:sz="0" w:space="0" w:color="auto"/>
        <w:left w:val="none" w:sz="0" w:space="0" w:color="auto"/>
        <w:bottom w:val="none" w:sz="0" w:space="0" w:color="auto"/>
        <w:right w:val="none" w:sz="0" w:space="0" w:color="auto"/>
      </w:divBdr>
    </w:div>
    <w:div w:id="1021123324">
      <w:bodyDiv w:val="1"/>
      <w:marLeft w:val="0"/>
      <w:marRight w:val="0"/>
      <w:marTop w:val="0"/>
      <w:marBottom w:val="0"/>
      <w:divBdr>
        <w:top w:val="none" w:sz="0" w:space="0" w:color="auto"/>
        <w:left w:val="none" w:sz="0" w:space="0" w:color="auto"/>
        <w:bottom w:val="none" w:sz="0" w:space="0" w:color="auto"/>
        <w:right w:val="none" w:sz="0" w:space="0" w:color="auto"/>
      </w:divBdr>
    </w:div>
    <w:div w:id="1174419907">
      <w:bodyDiv w:val="1"/>
      <w:marLeft w:val="0"/>
      <w:marRight w:val="0"/>
      <w:marTop w:val="0"/>
      <w:marBottom w:val="0"/>
      <w:divBdr>
        <w:top w:val="none" w:sz="0" w:space="0" w:color="auto"/>
        <w:left w:val="none" w:sz="0" w:space="0" w:color="auto"/>
        <w:bottom w:val="none" w:sz="0" w:space="0" w:color="auto"/>
        <w:right w:val="none" w:sz="0" w:space="0" w:color="auto"/>
      </w:divBdr>
      <w:divsChild>
        <w:div w:id="203144275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01032151">
      <w:bodyDiv w:val="1"/>
      <w:marLeft w:val="0"/>
      <w:marRight w:val="0"/>
      <w:marTop w:val="0"/>
      <w:marBottom w:val="0"/>
      <w:divBdr>
        <w:top w:val="none" w:sz="0" w:space="0" w:color="auto"/>
        <w:left w:val="none" w:sz="0" w:space="0" w:color="auto"/>
        <w:bottom w:val="none" w:sz="0" w:space="0" w:color="auto"/>
        <w:right w:val="none" w:sz="0" w:space="0" w:color="auto"/>
      </w:divBdr>
    </w:div>
    <w:div w:id="1317223511">
      <w:bodyDiv w:val="1"/>
      <w:marLeft w:val="0"/>
      <w:marRight w:val="0"/>
      <w:marTop w:val="0"/>
      <w:marBottom w:val="0"/>
      <w:divBdr>
        <w:top w:val="none" w:sz="0" w:space="0" w:color="auto"/>
        <w:left w:val="none" w:sz="0" w:space="0" w:color="auto"/>
        <w:bottom w:val="none" w:sz="0" w:space="0" w:color="auto"/>
        <w:right w:val="none" w:sz="0" w:space="0" w:color="auto"/>
      </w:divBdr>
    </w:div>
    <w:div w:id="1350257999">
      <w:bodyDiv w:val="1"/>
      <w:marLeft w:val="0"/>
      <w:marRight w:val="0"/>
      <w:marTop w:val="0"/>
      <w:marBottom w:val="0"/>
      <w:divBdr>
        <w:top w:val="none" w:sz="0" w:space="0" w:color="auto"/>
        <w:left w:val="none" w:sz="0" w:space="0" w:color="auto"/>
        <w:bottom w:val="none" w:sz="0" w:space="0" w:color="auto"/>
        <w:right w:val="none" w:sz="0" w:space="0" w:color="auto"/>
      </w:divBdr>
    </w:div>
    <w:div w:id="1437825411">
      <w:bodyDiv w:val="1"/>
      <w:marLeft w:val="0"/>
      <w:marRight w:val="0"/>
      <w:marTop w:val="0"/>
      <w:marBottom w:val="0"/>
      <w:divBdr>
        <w:top w:val="none" w:sz="0" w:space="0" w:color="auto"/>
        <w:left w:val="none" w:sz="0" w:space="0" w:color="auto"/>
        <w:bottom w:val="none" w:sz="0" w:space="0" w:color="auto"/>
        <w:right w:val="none" w:sz="0" w:space="0" w:color="auto"/>
      </w:divBdr>
    </w:div>
    <w:div w:id="1617516853">
      <w:bodyDiv w:val="1"/>
      <w:marLeft w:val="0"/>
      <w:marRight w:val="0"/>
      <w:marTop w:val="0"/>
      <w:marBottom w:val="0"/>
      <w:divBdr>
        <w:top w:val="none" w:sz="0" w:space="0" w:color="auto"/>
        <w:left w:val="none" w:sz="0" w:space="0" w:color="auto"/>
        <w:bottom w:val="none" w:sz="0" w:space="0" w:color="auto"/>
        <w:right w:val="none" w:sz="0" w:space="0" w:color="auto"/>
      </w:divBdr>
    </w:div>
    <w:div w:id="1676685590">
      <w:bodyDiv w:val="1"/>
      <w:marLeft w:val="0"/>
      <w:marRight w:val="0"/>
      <w:marTop w:val="0"/>
      <w:marBottom w:val="0"/>
      <w:divBdr>
        <w:top w:val="none" w:sz="0" w:space="0" w:color="auto"/>
        <w:left w:val="none" w:sz="0" w:space="0" w:color="auto"/>
        <w:bottom w:val="none" w:sz="0" w:space="0" w:color="auto"/>
        <w:right w:val="none" w:sz="0" w:space="0" w:color="auto"/>
      </w:divBdr>
      <w:divsChild>
        <w:div w:id="503472928">
          <w:marLeft w:val="0"/>
          <w:marRight w:val="0"/>
          <w:marTop w:val="0"/>
          <w:marBottom w:val="0"/>
          <w:divBdr>
            <w:top w:val="none" w:sz="0" w:space="0" w:color="auto"/>
            <w:left w:val="none" w:sz="0" w:space="0" w:color="auto"/>
            <w:bottom w:val="none" w:sz="0" w:space="0" w:color="auto"/>
            <w:right w:val="none" w:sz="0" w:space="0" w:color="auto"/>
          </w:divBdr>
        </w:div>
        <w:div w:id="527989320">
          <w:marLeft w:val="0"/>
          <w:marRight w:val="0"/>
          <w:marTop w:val="0"/>
          <w:marBottom w:val="0"/>
          <w:divBdr>
            <w:top w:val="none" w:sz="0" w:space="0" w:color="auto"/>
            <w:left w:val="none" w:sz="0" w:space="0" w:color="auto"/>
            <w:bottom w:val="none" w:sz="0" w:space="0" w:color="auto"/>
            <w:right w:val="none" w:sz="0" w:space="0" w:color="auto"/>
          </w:divBdr>
        </w:div>
        <w:div w:id="1049843859">
          <w:marLeft w:val="0"/>
          <w:marRight w:val="0"/>
          <w:marTop w:val="0"/>
          <w:marBottom w:val="0"/>
          <w:divBdr>
            <w:top w:val="none" w:sz="0" w:space="0" w:color="auto"/>
            <w:left w:val="none" w:sz="0" w:space="0" w:color="auto"/>
            <w:bottom w:val="none" w:sz="0" w:space="0" w:color="auto"/>
            <w:right w:val="none" w:sz="0" w:space="0" w:color="auto"/>
          </w:divBdr>
        </w:div>
        <w:div w:id="1111048325">
          <w:marLeft w:val="0"/>
          <w:marRight w:val="0"/>
          <w:marTop w:val="0"/>
          <w:marBottom w:val="0"/>
          <w:divBdr>
            <w:top w:val="none" w:sz="0" w:space="0" w:color="auto"/>
            <w:left w:val="none" w:sz="0" w:space="0" w:color="auto"/>
            <w:bottom w:val="none" w:sz="0" w:space="0" w:color="auto"/>
            <w:right w:val="none" w:sz="0" w:space="0" w:color="auto"/>
          </w:divBdr>
        </w:div>
        <w:div w:id="1306885689">
          <w:marLeft w:val="0"/>
          <w:marRight w:val="0"/>
          <w:marTop w:val="0"/>
          <w:marBottom w:val="0"/>
          <w:divBdr>
            <w:top w:val="none" w:sz="0" w:space="0" w:color="auto"/>
            <w:left w:val="none" w:sz="0" w:space="0" w:color="auto"/>
            <w:bottom w:val="none" w:sz="0" w:space="0" w:color="auto"/>
            <w:right w:val="none" w:sz="0" w:space="0" w:color="auto"/>
          </w:divBdr>
        </w:div>
        <w:div w:id="1461412863">
          <w:marLeft w:val="0"/>
          <w:marRight w:val="0"/>
          <w:marTop w:val="0"/>
          <w:marBottom w:val="0"/>
          <w:divBdr>
            <w:top w:val="none" w:sz="0" w:space="0" w:color="auto"/>
            <w:left w:val="none" w:sz="0" w:space="0" w:color="auto"/>
            <w:bottom w:val="none" w:sz="0" w:space="0" w:color="auto"/>
            <w:right w:val="none" w:sz="0" w:space="0" w:color="auto"/>
          </w:divBdr>
        </w:div>
        <w:div w:id="1660382300">
          <w:marLeft w:val="0"/>
          <w:marRight w:val="0"/>
          <w:marTop w:val="0"/>
          <w:marBottom w:val="0"/>
          <w:divBdr>
            <w:top w:val="none" w:sz="0" w:space="0" w:color="auto"/>
            <w:left w:val="none" w:sz="0" w:space="0" w:color="auto"/>
            <w:bottom w:val="none" w:sz="0" w:space="0" w:color="auto"/>
            <w:right w:val="none" w:sz="0" w:space="0" w:color="auto"/>
          </w:divBdr>
        </w:div>
        <w:div w:id="1983002123">
          <w:marLeft w:val="0"/>
          <w:marRight w:val="0"/>
          <w:marTop w:val="0"/>
          <w:marBottom w:val="0"/>
          <w:divBdr>
            <w:top w:val="none" w:sz="0" w:space="0" w:color="auto"/>
            <w:left w:val="none" w:sz="0" w:space="0" w:color="auto"/>
            <w:bottom w:val="none" w:sz="0" w:space="0" w:color="auto"/>
            <w:right w:val="none" w:sz="0" w:space="0" w:color="auto"/>
          </w:divBdr>
        </w:div>
        <w:div w:id="1990019166">
          <w:marLeft w:val="0"/>
          <w:marRight w:val="0"/>
          <w:marTop w:val="0"/>
          <w:marBottom w:val="0"/>
          <w:divBdr>
            <w:top w:val="none" w:sz="0" w:space="0" w:color="auto"/>
            <w:left w:val="none" w:sz="0" w:space="0" w:color="auto"/>
            <w:bottom w:val="none" w:sz="0" w:space="0" w:color="auto"/>
            <w:right w:val="none" w:sz="0" w:space="0" w:color="auto"/>
          </w:divBdr>
        </w:div>
        <w:div w:id="2057924653">
          <w:marLeft w:val="0"/>
          <w:marRight w:val="0"/>
          <w:marTop w:val="0"/>
          <w:marBottom w:val="0"/>
          <w:divBdr>
            <w:top w:val="none" w:sz="0" w:space="0" w:color="auto"/>
            <w:left w:val="none" w:sz="0" w:space="0" w:color="auto"/>
            <w:bottom w:val="none" w:sz="0" w:space="0" w:color="auto"/>
            <w:right w:val="none" w:sz="0" w:space="0" w:color="auto"/>
          </w:divBdr>
        </w:div>
      </w:divsChild>
    </w:div>
    <w:div w:id="207850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uri=celex:32021R105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TXT/?uri=celex%3A12012P%2FTXT" TargetMode="External"/><Relationship Id="rId1" Type="http://schemas.openxmlformats.org/officeDocument/2006/relationships/hyperlink" Target="https://www.ohchr.org/EN/HRBodies/CRPD/Pages/ConventionRightsPersonsWithDisabilities.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93F57-62DC-4AEA-95E8-9C8A6A4B5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4200</Words>
  <Characters>23941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Стела</dc:creator>
  <cp:lastModifiedBy>Hristo Yordanov</cp:lastModifiedBy>
  <cp:revision>6</cp:revision>
  <cp:lastPrinted>2015-04-30T10:45:00Z</cp:lastPrinted>
  <dcterms:created xsi:type="dcterms:W3CDTF">2026-02-27T14:07:00Z</dcterms:created>
  <dcterms:modified xsi:type="dcterms:W3CDTF">2026-04-23T08:44:00Z</dcterms:modified>
</cp:coreProperties>
</file>